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F023" w14:textId="4D0DFF1E" w:rsidR="00CB14C8" w:rsidRDefault="00194C28" w:rsidP="009C5645">
      <w:pPr>
        <w:spacing w:after="120" w:line="288" w:lineRule="auto"/>
        <w:rPr>
          <w:rFonts w:cs="Arial"/>
          <w:b/>
          <w:sz w:val="19"/>
          <w:szCs w:val="19"/>
        </w:rPr>
      </w:pPr>
      <w:r>
        <w:rPr>
          <w:rFonts w:cs="Arial"/>
          <w:b/>
        </w:rPr>
        <w:t xml:space="preserve">Checklist of </w:t>
      </w:r>
      <w:r w:rsidR="00806157">
        <w:rPr>
          <w:rFonts w:cs="Arial"/>
          <w:b/>
        </w:rPr>
        <w:t xml:space="preserve">Recommended </w:t>
      </w:r>
      <w:r w:rsidR="00CB14C8">
        <w:rPr>
          <w:rFonts w:cs="Arial"/>
          <w:b/>
        </w:rPr>
        <w:t>I</w:t>
      </w:r>
      <w:r>
        <w:rPr>
          <w:rFonts w:cs="Arial"/>
          <w:b/>
        </w:rPr>
        <w:t>nformation Requirements</w:t>
      </w:r>
    </w:p>
    <w:p w14:paraId="65B0F4F7" w14:textId="55D45000" w:rsidR="00044E55" w:rsidRDefault="00CB7F38" w:rsidP="009C5645">
      <w:pPr>
        <w:spacing w:after="60" w:line="288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In addition to the </w:t>
      </w:r>
      <w:r w:rsidR="00682374">
        <w:rPr>
          <w:rFonts w:cs="Arial"/>
          <w:sz w:val="19"/>
          <w:szCs w:val="19"/>
        </w:rPr>
        <w:t xml:space="preserve">national </w:t>
      </w:r>
      <w:r w:rsidR="00F71B5C">
        <w:rPr>
          <w:rFonts w:cs="Arial"/>
          <w:sz w:val="19"/>
          <w:szCs w:val="19"/>
        </w:rPr>
        <w:t xml:space="preserve">validation requirements </w:t>
      </w:r>
      <w:r w:rsidR="00806157">
        <w:rPr>
          <w:rFonts w:cs="Arial"/>
          <w:sz w:val="19"/>
          <w:szCs w:val="19"/>
        </w:rPr>
        <w:t xml:space="preserve">set out </w:t>
      </w:r>
      <w:r>
        <w:rPr>
          <w:rFonts w:cs="Arial"/>
          <w:sz w:val="19"/>
          <w:szCs w:val="19"/>
        </w:rPr>
        <w:t xml:space="preserve">within the </w:t>
      </w:r>
      <w:r w:rsidR="00F71B5C">
        <w:rPr>
          <w:rFonts w:cs="Arial"/>
          <w:sz w:val="19"/>
          <w:szCs w:val="19"/>
        </w:rPr>
        <w:t>Government</w:t>
      </w:r>
      <w:r>
        <w:rPr>
          <w:rFonts w:cs="Arial"/>
          <w:sz w:val="19"/>
          <w:szCs w:val="19"/>
        </w:rPr>
        <w:t xml:space="preserve">’s </w:t>
      </w:r>
      <w:hyperlink r:id="rId11" w:history="1">
        <w:r w:rsidR="00F71B5C" w:rsidRPr="00A82DC2">
          <w:rPr>
            <w:rStyle w:val="Hyperlink"/>
            <w:rFonts w:cs="Arial"/>
            <w:sz w:val="19"/>
            <w:szCs w:val="19"/>
          </w:rPr>
          <w:t>Planning Practice Guidance</w:t>
        </w:r>
      </w:hyperlink>
      <w:r w:rsidR="00F71B5C">
        <w:rPr>
          <w:rFonts w:cs="Arial"/>
          <w:sz w:val="19"/>
          <w:szCs w:val="19"/>
        </w:rPr>
        <w:t xml:space="preserve">, </w:t>
      </w:r>
      <w:r w:rsidR="00835CED">
        <w:rPr>
          <w:rFonts w:cs="Arial"/>
          <w:sz w:val="19"/>
          <w:szCs w:val="19"/>
        </w:rPr>
        <w:t xml:space="preserve">Sport England recommends that </w:t>
      </w:r>
      <w:r w:rsidR="005609D1">
        <w:rPr>
          <w:rFonts w:cs="Arial"/>
          <w:sz w:val="19"/>
          <w:szCs w:val="19"/>
        </w:rPr>
        <w:t>planning application</w:t>
      </w:r>
      <w:r w:rsidR="00806157">
        <w:rPr>
          <w:rFonts w:cs="Arial"/>
          <w:sz w:val="19"/>
          <w:szCs w:val="19"/>
        </w:rPr>
        <w:t>s</w:t>
      </w:r>
      <w:r w:rsidR="005609D1">
        <w:rPr>
          <w:rFonts w:cs="Arial"/>
          <w:sz w:val="19"/>
          <w:szCs w:val="19"/>
        </w:rPr>
        <w:t xml:space="preserve"> affecting playing field </w:t>
      </w:r>
      <w:r w:rsidR="00806157">
        <w:rPr>
          <w:rFonts w:cs="Arial"/>
          <w:sz w:val="19"/>
          <w:szCs w:val="19"/>
        </w:rPr>
        <w:t xml:space="preserve">land </w:t>
      </w:r>
      <w:r w:rsidR="005609D1">
        <w:rPr>
          <w:rFonts w:cs="Arial"/>
          <w:sz w:val="19"/>
          <w:szCs w:val="19"/>
        </w:rPr>
        <w:t xml:space="preserve">should provide sport specific </w:t>
      </w:r>
      <w:r w:rsidR="00F71B5C">
        <w:rPr>
          <w:rFonts w:cs="Arial"/>
          <w:sz w:val="19"/>
          <w:szCs w:val="19"/>
        </w:rPr>
        <w:t>information</w:t>
      </w:r>
      <w:r w:rsidR="00835CED">
        <w:rPr>
          <w:rFonts w:cs="Arial"/>
          <w:sz w:val="19"/>
          <w:szCs w:val="19"/>
        </w:rPr>
        <w:t xml:space="preserve"> in line with the below checklist</w:t>
      </w:r>
      <w:r w:rsidR="00BA72D7">
        <w:rPr>
          <w:rFonts w:cs="Arial"/>
          <w:sz w:val="19"/>
          <w:szCs w:val="19"/>
        </w:rPr>
        <w:t xml:space="preserve">.  This information will enable Sport England </w:t>
      </w:r>
      <w:r w:rsidR="005609D1">
        <w:rPr>
          <w:rFonts w:cs="Arial"/>
          <w:sz w:val="19"/>
          <w:szCs w:val="19"/>
        </w:rPr>
        <w:t xml:space="preserve">to </w:t>
      </w:r>
      <w:r w:rsidR="00BB1F11">
        <w:rPr>
          <w:rFonts w:cs="Arial"/>
          <w:sz w:val="19"/>
          <w:szCs w:val="19"/>
        </w:rPr>
        <w:t>provide a substantive respo</w:t>
      </w:r>
      <w:r w:rsidR="005609D1">
        <w:rPr>
          <w:rFonts w:cs="Arial"/>
          <w:sz w:val="19"/>
          <w:szCs w:val="19"/>
        </w:rPr>
        <w:t>nse to</w:t>
      </w:r>
      <w:r w:rsidR="00BB1F11">
        <w:rPr>
          <w:rFonts w:cs="Arial"/>
          <w:sz w:val="19"/>
          <w:szCs w:val="19"/>
        </w:rPr>
        <w:t xml:space="preserve"> </w:t>
      </w:r>
      <w:r w:rsidR="00806157">
        <w:rPr>
          <w:rFonts w:cs="Arial"/>
          <w:sz w:val="19"/>
          <w:szCs w:val="19"/>
        </w:rPr>
        <w:t>applications on which it is consulted</w:t>
      </w:r>
      <w:r w:rsidR="005609D1">
        <w:rPr>
          <w:rFonts w:cs="Arial"/>
          <w:sz w:val="19"/>
          <w:szCs w:val="19"/>
        </w:rPr>
        <w:t xml:space="preserve">.  It will also aid the LPA to </w:t>
      </w:r>
      <w:r w:rsidR="00B97828">
        <w:rPr>
          <w:rFonts w:cs="Arial"/>
          <w:sz w:val="19"/>
          <w:szCs w:val="19"/>
        </w:rPr>
        <w:t>assess an</w:t>
      </w:r>
      <w:r w:rsidR="005609D1">
        <w:rPr>
          <w:rFonts w:cs="Arial"/>
          <w:sz w:val="19"/>
          <w:szCs w:val="19"/>
        </w:rPr>
        <w:t xml:space="preserve"> application in light of </w:t>
      </w:r>
      <w:hyperlink r:id="rId12" w:anchor="paragraph_74" w:history="1">
        <w:r w:rsidR="005609D1" w:rsidRPr="00A82DC2">
          <w:rPr>
            <w:rStyle w:val="Hyperlink"/>
            <w:rFonts w:cs="Arial"/>
            <w:sz w:val="19"/>
            <w:szCs w:val="19"/>
          </w:rPr>
          <w:t>paragraph 74 of the NPPF</w:t>
        </w:r>
      </w:hyperlink>
      <w:r w:rsidR="005609D1">
        <w:rPr>
          <w:rFonts w:cs="Arial"/>
          <w:sz w:val="19"/>
          <w:szCs w:val="19"/>
        </w:rPr>
        <w:t xml:space="preserve"> and relevant Local Plan policies</w:t>
      </w:r>
      <w:r w:rsidR="00BB1F11">
        <w:rPr>
          <w:rFonts w:cs="Arial"/>
          <w:sz w:val="19"/>
          <w:szCs w:val="19"/>
        </w:rPr>
        <w:t>.</w:t>
      </w:r>
    </w:p>
    <w:p w14:paraId="558F1015" w14:textId="451F0127" w:rsidR="00955A02" w:rsidRPr="00955A02" w:rsidRDefault="00955A02" w:rsidP="009C5645">
      <w:pPr>
        <w:spacing w:after="60" w:line="288" w:lineRule="auto"/>
        <w:rPr>
          <w:rFonts w:cs="Arial"/>
          <w:sz w:val="6"/>
          <w:szCs w:val="6"/>
        </w:rPr>
      </w:pPr>
    </w:p>
    <w:p w14:paraId="73110216" w14:textId="138C1A46" w:rsidR="00CB7F38" w:rsidRDefault="00DC17E6" w:rsidP="009C5645">
      <w:pPr>
        <w:spacing w:after="60" w:line="288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The </w:t>
      </w:r>
      <w:r w:rsidR="00806157">
        <w:rPr>
          <w:rFonts w:cs="Arial"/>
          <w:sz w:val="19"/>
          <w:szCs w:val="19"/>
        </w:rPr>
        <w:t xml:space="preserve">checklist presents the recommended requirements </w:t>
      </w:r>
      <w:r w:rsidR="00835CED">
        <w:rPr>
          <w:rFonts w:cs="Arial"/>
          <w:sz w:val="19"/>
          <w:szCs w:val="19"/>
        </w:rPr>
        <w:t xml:space="preserve">for all applications.  It also indicates the information that Sport England recommends should be </w:t>
      </w:r>
      <w:r w:rsidR="00CA1922">
        <w:rPr>
          <w:rFonts w:cs="Arial"/>
          <w:sz w:val="19"/>
          <w:szCs w:val="19"/>
        </w:rPr>
        <w:t>submitte</w:t>
      </w:r>
      <w:r w:rsidR="00835CED">
        <w:rPr>
          <w:rFonts w:cs="Arial"/>
          <w:sz w:val="19"/>
          <w:szCs w:val="19"/>
        </w:rPr>
        <w:t xml:space="preserve">d </w:t>
      </w:r>
      <w:r w:rsidR="00806157">
        <w:rPr>
          <w:rFonts w:cs="Arial"/>
          <w:sz w:val="19"/>
          <w:szCs w:val="19"/>
        </w:rPr>
        <w:t xml:space="preserve">where </w:t>
      </w:r>
      <w:r w:rsidR="00CA1922">
        <w:rPr>
          <w:rFonts w:cs="Arial"/>
          <w:sz w:val="19"/>
          <w:szCs w:val="19"/>
        </w:rPr>
        <w:t>an applicant feel</w:t>
      </w:r>
      <w:r w:rsidR="00806157">
        <w:rPr>
          <w:rFonts w:cs="Arial"/>
          <w:sz w:val="19"/>
          <w:szCs w:val="19"/>
        </w:rPr>
        <w:t>s</w:t>
      </w:r>
      <w:bookmarkStart w:id="0" w:name="_GoBack"/>
      <w:bookmarkEnd w:id="0"/>
      <w:r w:rsidR="00CA1922">
        <w:rPr>
          <w:rFonts w:cs="Arial"/>
          <w:sz w:val="19"/>
          <w:szCs w:val="19"/>
        </w:rPr>
        <w:t xml:space="preserve"> their </w:t>
      </w:r>
      <w:r w:rsidR="00835CED">
        <w:rPr>
          <w:rFonts w:cs="Arial"/>
          <w:sz w:val="19"/>
          <w:szCs w:val="19"/>
        </w:rPr>
        <w:t xml:space="preserve">development may </w:t>
      </w:r>
      <w:r w:rsidR="00CA1922">
        <w:rPr>
          <w:rFonts w:cs="Arial"/>
          <w:sz w:val="19"/>
          <w:szCs w:val="19"/>
        </w:rPr>
        <w:t>meet</w:t>
      </w:r>
      <w:r w:rsidR="00835CED">
        <w:rPr>
          <w:rFonts w:cs="Arial"/>
          <w:sz w:val="19"/>
          <w:szCs w:val="19"/>
        </w:rPr>
        <w:t xml:space="preserve"> with one of the exceptions to Sport England’s </w:t>
      </w:r>
      <w:hyperlink r:id="rId13" w:history="1">
        <w:r w:rsidR="00835CED" w:rsidRPr="00A82DC2">
          <w:rPr>
            <w:rStyle w:val="Hyperlink"/>
            <w:rFonts w:cs="Arial"/>
            <w:sz w:val="19"/>
            <w:szCs w:val="19"/>
          </w:rPr>
          <w:t>Playing Fields Policy</w:t>
        </w:r>
      </w:hyperlink>
      <w:r w:rsidR="00CA1922">
        <w:rPr>
          <w:rFonts w:cs="Arial"/>
          <w:sz w:val="19"/>
          <w:szCs w:val="19"/>
        </w:rPr>
        <w:t>.</w:t>
      </w:r>
    </w:p>
    <w:p w14:paraId="6E8A0A17" w14:textId="77777777" w:rsidR="00CB7F38" w:rsidRPr="00CB7F38" w:rsidRDefault="00CB7F38" w:rsidP="009C5645">
      <w:pPr>
        <w:spacing w:line="336" w:lineRule="auto"/>
        <w:rPr>
          <w:rFonts w:cs="Arial"/>
          <w:sz w:val="6"/>
          <w:szCs w:val="6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134"/>
      </w:tblGrid>
      <w:tr w:rsidR="009C5645" w:rsidRPr="00BA72D7" w14:paraId="40FFF4CD" w14:textId="77777777" w:rsidTr="00955A02">
        <w:trPr>
          <w:trHeight w:val="276"/>
        </w:trPr>
        <w:tc>
          <w:tcPr>
            <w:tcW w:w="1413" w:type="dxa"/>
            <w:shd w:val="clear" w:color="auto" w:fill="A8D08D" w:themeFill="accent6" w:themeFillTint="99"/>
          </w:tcPr>
          <w:p w14:paraId="40B1F730" w14:textId="77777777" w:rsidR="009C5645" w:rsidRPr="00BA72D7" w:rsidRDefault="009C5645" w:rsidP="00835CED">
            <w:pPr>
              <w:rPr>
                <w:rFonts w:cs="Arial"/>
                <w:b/>
                <w:sz w:val="19"/>
                <w:szCs w:val="19"/>
              </w:rPr>
            </w:pPr>
            <w:r w:rsidRPr="00BA72D7">
              <w:rPr>
                <w:rFonts w:cs="Arial"/>
                <w:b/>
                <w:sz w:val="19"/>
                <w:szCs w:val="19"/>
              </w:rPr>
              <w:t>Document</w:t>
            </w:r>
          </w:p>
        </w:tc>
        <w:tc>
          <w:tcPr>
            <w:tcW w:w="7371" w:type="dxa"/>
            <w:gridSpan w:val="2"/>
            <w:shd w:val="clear" w:color="auto" w:fill="A8D08D" w:themeFill="accent6" w:themeFillTint="99"/>
          </w:tcPr>
          <w:p w14:paraId="60B5FEE1" w14:textId="14360144" w:rsidR="009C5645" w:rsidRPr="009C5645" w:rsidRDefault="00955A02" w:rsidP="009C5645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Presenting details o</w:t>
            </w:r>
            <w:r w:rsidR="009C5645">
              <w:rPr>
                <w:rFonts w:cs="Arial"/>
                <w:b/>
                <w:sz w:val="19"/>
                <w:szCs w:val="19"/>
              </w:rPr>
              <w:t>n</w:t>
            </w:r>
            <w:r>
              <w:rPr>
                <w:rFonts w:cs="Arial"/>
                <w:b/>
                <w:sz w:val="19"/>
                <w:szCs w:val="19"/>
              </w:rPr>
              <w:t>……</w:t>
            </w:r>
          </w:p>
        </w:tc>
      </w:tr>
      <w:tr w:rsidR="009C5645" w:rsidRPr="00BA72D7" w14:paraId="50061399" w14:textId="77777777" w:rsidTr="009C5645">
        <w:tc>
          <w:tcPr>
            <w:tcW w:w="8784" w:type="dxa"/>
            <w:gridSpan w:val="3"/>
            <w:shd w:val="clear" w:color="auto" w:fill="DBDBDB" w:themeFill="accent3" w:themeFillTint="66"/>
          </w:tcPr>
          <w:p w14:paraId="28C2B0D1" w14:textId="7D46879E" w:rsidR="009C5645" w:rsidRPr="009C5645" w:rsidRDefault="009C5645" w:rsidP="009C5645">
            <w:pPr>
              <w:jc w:val="center"/>
              <w:rPr>
                <w:rFonts w:cs="Arial"/>
                <w:color w:val="FFFFFF" w:themeColor="background1"/>
                <w:sz w:val="19"/>
                <w:szCs w:val="19"/>
              </w:rPr>
            </w:pPr>
            <w:r w:rsidRPr="009C5645">
              <w:rPr>
                <w:rFonts w:cs="Arial"/>
                <w:b/>
                <w:color w:val="000000" w:themeColor="text1"/>
                <w:sz w:val="19"/>
                <w:szCs w:val="19"/>
              </w:rPr>
              <w:t>Required for all applications</w:t>
            </w:r>
          </w:p>
        </w:tc>
      </w:tr>
      <w:tr w:rsidR="009C5645" w:rsidRPr="00BA72D7" w14:paraId="5677F495" w14:textId="77777777" w:rsidTr="00955A02">
        <w:tc>
          <w:tcPr>
            <w:tcW w:w="1413" w:type="dxa"/>
          </w:tcPr>
          <w:p w14:paraId="365F2800" w14:textId="3F8DC6EB" w:rsidR="009C5645" w:rsidRPr="00BA72D7" w:rsidRDefault="00955A02" w:rsidP="00955A02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Consultation </w:t>
            </w:r>
            <w:r w:rsidR="009C5645">
              <w:rPr>
                <w:rFonts w:cs="Arial"/>
                <w:b/>
                <w:sz w:val="19"/>
                <w:szCs w:val="19"/>
              </w:rPr>
              <w:t>Notice</w:t>
            </w:r>
          </w:p>
        </w:tc>
        <w:tc>
          <w:tcPr>
            <w:tcW w:w="7371" w:type="dxa"/>
            <w:gridSpan w:val="2"/>
            <w:tcBorders>
              <w:bottom w:val="single" w:sz="4" w:space="0" w:color="A6A6A6" w:themeColor="background1" w:themeShade="A6"/>
            </w:tcBorders>
          </w:tcPr>
          <w:p w14:paraId="20D64092" w14:textId="1FBC1E97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rFonts w:cs="Arial"/>
                <w:sz w:val="19"/>
                <w:szCs w:val="19"/>
              </w:rPr>
              <w:t>The development proposed</w:t>
            </w:r>
            <w:r w:rsidR="00955A02">
              <w:rPr>
                <w:rFonts w:cs="Arial"/>
                <w:sz w:val="19"/>
                <w:szCs w:val="19"/>
              </w:rPr>
              <w:t xml:space="preserve"> (description), timescales, case officer</w:t>
            </w:r>
            <w:r w:rsidRPr="009C5645">
              <w:rPr>
                <w:rFonts w:cs="Arial"/>
                <w:sz w:val="19"/>
                <w:szCs w:val="19"/>
              </w:rPr>
              <w:t xml:space="preserve"> contact details and how information can be viewed</w:t>
            </w:r>
            <w:r w:rsidR="00EC5C29">
              <w:rPr>
                <w:rFonts w:cs="Arial"/>
                <w:sz w:val="19"/>
                <w:szCs w:val="19"/>
              </w:rPr>
              <w:t>.</w:t>
            </w:r>
          </w:p>
        </w:tc>
      </w:tr>
      <w:tr w:rsidR="009C5645" w:rsidRPr="00BA72D7" w14:paraId="6B0C7F2A" w14:textId="77777777" w:rsidTr="00955A02">
        <w:tc>
          <w:tcPr>
            <w:tcW w:w="1413" w:type="dxa"/>
            <w:vMerge w:val="restart"/>
          </w:tcPr>
          <w:p w14:paraId="52EEE646" w14:textId="77777777" w:rsidR="009C5645" w:rsidRPr="00BA72D7" w:rsidRDefault="009C5645" w:rsidP="00955A02">
            <w:pPr>
              <w:rPr>
                <w:rFonts w:cs="Arial"/>
                <w:b/>
                <w:sz w:val="19"/>
                <w:szCs w:val="19"/>
              </w:rPr>
            </w:pPr>
            <w:r w:rsidRPr="00BA72D7">
              <w:rPr>
                <w:rFonts w:cs="Arial"/>
                <w:b/>
                <w:sz w:val="19"/>
                <w:szCs w:val="19"/>
              </w:rPr>
              <w:t>Existing</w:t>
            </w:r>
            <w:r w:rsidRPr="005609D1">
              <w:rPr>
                <w:rFonts w:cs="Arial"/>
                <w:b/>
                <w:i/>
                <w:sz w:val="19"/>
                <w:szCs w:val="19"/>
              </w:rPr>
              <w:t xml:space="preserve"> </w:t>
            </w:r>
            <w:r w:rsidRPr="00BA72D7">
              <w:rPr>
                <w:rFonts w:cs="Arial"/>
                <w:b/>
                <w:sz w:val="19"/>
                <w:szCs w:val="19"/>
              </w:rPr>
              <w:t>site plan</w:t>
            </w:r>
          </w:p>
        </w:tc>
        <w:tc>
          <w:tcPr>
            <w:tcW w:w="7371" w:type="dxa"/>
            <w:gridSpan w:val="2"/>
            <w:tcBorders>
              <w:bottom w:val="single" w:sz="4" w:space="0" w:color="808080" w:themeColor="background1" w:themeShade="80"/>
            </w:tcBorders>
          </w:tcPr>
          <w:p w14:paraId="3611FC65" w14:textId="339B2210" w:rsidR="009C5645" w:rsidRPr="009C5645" w:rsidRDefault="00EC5C29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Extent of the playing field </w:t>
            </w:r>
            <w:r w:rsidR="009C5645" w:rsidRPr="009C5645">
              <w:rPr>
                <w:rFonts w:cs="Arial"/>
                <w:sz w:val="19"/>
                <w:szCs w:val="19"/>
              </w:rPr>
              <w:t>as defined by</w:t>
            </w:r>
            <w:r w:rsidR="009C5645" w:rsidRPr="009C5645">
              <w:rPr>
                <w:sz w:val="19"/>
                <w:szCs w:val="19"/>
              </w:rPr>
              <w:t xml:space="preserve"> </w:t>
            </w:r>
            <w:hyperlink r:id="rId14" w:history="1">
              <w:r w:rsidR="009C5645" w:rsidRPr="00A82DC2">
                <w:rPr>
                  <w:rStyle w:val="Hyperlink"/>
                  <w:sz w:val="19"/>
                  <w:szCs w:val="19"/>
                </w:rPr>
                <w:t>The Town and Country Planning (Development Management Procedure) (England) Order 2015</w:t>
              </w:r>
            </w:hyperlink>
          </w:p>
        </w:tc>
      </w:tr>
      <w:tr w:rsidR="009C5645" w:rsidRPr="00BA72D7" w14:paraId="3E1E1769" w14:textId="77777777" w:rsidTr="00955A02">
        <w:tc>
          <w:tcPr>
            <w:tcW w:w="1413" w:type="dxa"/>
            <w:vMerge/>
          </w:tcPr>
          <w:p w14:paraId="597756B5" w14:textId="77777777" w:rsidR="009C5645" w:rsidRPr="00BA72D7" w:rsidRDefault="009C5645" w:rsidP="00955A02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0605EC" w14:textId="2F7A1F30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Location and nature of existing buildings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1A187017" w14:textId="77777777" w:rsidTr="00955A02">
        <w:tc>
          <w:tcPr>
            <w:tcW w:w="1413" w:type="dxa"/>
            <w:vMerge/>
          </w:tcPr>
          <w:p w14:paraId="2374E78B" w14:textId="77777777" w:rsidR="009C5645" w:rsidRPr="00BA72D7" w:rsidRDefault="009C5645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E561E5" w14:textId="2E7397EF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L</w:t>
            </w:r>
            <w:r w:rsidR="00955A02">
              <w:rPr>
                <w:sz w:val="19"/>
                <w:szCs w:val="19"/>
              </w:rPr>
              <w:t>ocation and nature of existing</w:t>
            </w:r>
            <w:r w:rsidRPr="009C5645">
              <w:rPr>
                <w:sz w:val="19"/>
                <w:szCs w:val="19"/>
              </w:rPr>
              <w:t xml:space="preserve"> sports facilities</w:t>
            </w:r>
          </w:p>
          <w:p w14:paraId="33DF56F9" w14:textId="7EF10F74" w:rsidR="009C5645" w:rsidRPr="00CA1922" w:rsidRDefault="009C5645" w:rsidP="009C5645">
            <w:pPr>
              <w:ind w:left="353" w:hanging="353"/>
              <w:rPr>
                <w:rFonts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BA72D7">
              <w:rPr>
                <w:sz w:val="19"/>
                <w:szCs w:val="19"/>
              </w:rPr>
              <w:t>(including the layout of summer and winter playing pitches)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410F871F" w14:textId="77777777" w:rsidTr="00955A02">
        <w:tc>
          <w:tcPr>
            <w:tcW w:w="1413" w:type="dxa"/>
            <w:vMerge/>
          </w:tcPr>
          <w:p w14:paraId="3690EFD5" w14:textId="77777777" w:rsidR="009C5645" w:rsidRPr="00BA72D7" w:rsidRDefault="009C5645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C73A2C" w14:textId="2CCA9C58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Significant features (e.g. trees, slopes, paths, fences, sewers)</w:t>
            </w:r>
            <w:r w:rsidR="00977DDD" w:rsidRPr="009C5645">
              <w:rPr>
                <w:rFonts w:cs="Arial"/>
                <w:color w:val="000000" w:themeColor="text1"/>
                <w:sz w:val="20"/>
                <w:szCs w:val="20"/>
              </w:rPr>
              <w:t xml:space="preserve"> ¹</w:t>
            </w:r>
            <w:r w:rsidR="00EC5C2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C5645" w:rsidRPr="00BA72D7" w14:paraId="4B8DD732" w14:textId="77777777" w:rsidTr="00955A02">
        <w:tc>
          <w:tcPr>
            <w:tcW w:w="1413" w:type="dxa"/>
            <w:vMerge/>
          </w:tcPr>
          <w:p w14:paraId="0BBF81A3" w14:textId="77777777" w:rsidR="009C5645" w:rsidRPr="00BA72D7" w:rsidRDefault="009C5645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</w:tcBorders>
          </w:tcPr>
          <w:p w14:paraId="567E6FA4" w14:textId="1A4F4F36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Existing levels across the site</w:t>
            </w:r>
            <w:r w:rsidR="00977DDD" w:rsidRPr="009C5645">
              <w:rPr>
                <w:rFonts w:cs="Arial"/>
                <w:color w:val="000000" w:themeColor="text1"/>
                <w:sz w:val="20"/>
                <w:szCs w:val="20"/>
              </w:rPr>
              <w:t>¹</w:t>
            </w:r>
            <w:r w:rsidR="00EC5C2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C5645" w:rsidRPr="00BA72D7" w14:paraId="0159333B" w14:textId="77777777" w:rsidTr="00955A02">
        <w:tc>
          <w:tcPr>
            <w:tcW w:w="1413" w:type="dxa"/>
            <w:vMerge w:val="restart"/>
          </w:tcPr>
          <w:p w14:paraId="1B85733B" w14:textId="77777777" w:rsidR="009C5645" w:rsidRPr="00BA72D7" w:rsidRDefault="009C5645" w:rsidP="00955A02">
            <w:pPr>
              <w:rPr>
                <w:rFonts w:cs="Arial"/>
                <w:b/>
                <w:sz w:val="19"/>
                <w:szCs w:val="19"/>
              </w:rPr>
            </w:pPr>
            <w:r w:rsidRPr="00BA72D7">
              <w:rPr>
                <w:rFonts w:cs="Arial"/>
                <w:b/>
                <w:sz w:val="19"/>
                <w:szCs w:val="19"/>
              </w:rPr>
              <w:t>Proposed</w:t>
            </w:r>
            <w:r w:rsidRPr="005609D1">
              <w:rPr>
                <w:rFonts w:cs="Arial"/>
                <w:b/>
                <w:i/>
                <w:sz w:val="19"/>
                <w:szCs w:val="19"/>
              </w:rPr>
              <w:t xml:space="preserve"> </w:t>
            </w:r>
            <w:r w:rsidRPr="00BA72D7">
              <w:rPr>
                <w:rFonts w:cs="Arial"/>
                <w:b/>
                <w:sz w:val="19"/>
                <w:szCs w:val="19"/>
              </w:rPr>
              <w:t>site plan</w:t>
            </w:r>
          </w:p>
        </w:tc>
        <w:tc>
          <w:tcPr>
            <w:tcW w:w="7371" w:type="dxa"/>
            <w:gridSpan w:val="2"/>
            <w:tcBorders>
              <w:bottom w:val="single" w:sz="4" w:space="0" w:color="808080" w:themeColor="background1" w:themeShade="80"/>
            </w:tcBorders>
          </w:tcPr>
          <w:p w14:paraId="1515D355" w14:textId="1DEBC110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rFonts w:cs="Arial"/>
                <w:sz w:val="19"/>
                <w:szCs w:val="19"/>
              </w:rPr>
              <w:t>Location and nature of the proposed development</w:t>
            </w:r>
            <w:r w:rsidR="00EC5C29">
              <w:rPr>
                <w:rFonts w:cs="Arial"/>
                <w:sz w:val="19"/>
                <w:szCs w:val="19"/>
              </w:rPr>
              <w:t>.</w:t>
            </w:r>
          </w:p>
        </w:tc>
      </w:tr>
      <w:tr w:rsidR="009C5645" w:rsidRPr="00BA72D7" w14:paraId="56C6BE78" w14:textId="77777777" w:rsidTr="00955A02">
        <w:tc>
          <w:tcPr>
            <w:tcW w:w="1413" w:type="dxa"/>
            <w:vMerge/>
          </w:tcPr>
          <w:p w14:paraId="560F1F9F" w14:textId="77777777" w:rsidR="009C5645" w:rsidRPr="00BA72D7" w:rsidRDefault="009C5645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0F5F45" w14:textId="1665E2BD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 xml:space="preserve">Extent of playing field area to be lost (including the </w:t>
            </w:r>
            <w:r w:rsidR="00977DDD">
              <w:rPr>
                <w:sz w:val="19"/>
                <w:szCs w:val="19"/>
              </w:rPr>
              <w:t xml:space="preserve">area </w:t>
            </w:r>
            <w:r w:rsidR="00161099">
              <w:rPr>
                <w:sz w:val="19"/>
                <w:szCs w:val="19"/>
              </w:rPr>
              <w:t>covered</w:t>
            </w:r>
            <w:r w:rsidR="00977DDD">
              <w:rPr>
                <w:sz w:val="19"/>
                <w:szCs w:val="19"/>
              </w:rPr>
              <w:t xml:space="preserve"> by the </w:t>
            </w:r>
            <w:r w:rsidRPr="009C5645">
              <w:rPr>
                <w:sz w:val="19"/>
                <w:szCs w:val="19"/>
              </w:rPr>
              <w:t xml:space="preserve">proposed development and any associated works </w:t>
            </w:r>
            <w:r w:rsidR="00161099" w:rsidRPr="009C5645">
              <w:rPr>
                <w:sz w:val="19"/>
                <w:szCs w:val="19"/>
              </w:rPr>
              <w:t>e.g.</w:t>
            </w:r>
            <w:r w:rsidRPr="009C5645">
              <w:rPr>
                <w:sz w:val="19"/>
                <w:szCs w:val="19"/>
              </w:rPr>
              <w:t xml:space="preserve"> landscaping)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2F71BC98" w14:textId="77777777" w:rsidTr="00955A02">
        <w:tc>
          <w:tcPr>
            <w:tcW w:w="1413" w:type="dxa"/>
            <w:vMerge/>
          </w:tcPr>
          <w:p w14:paraId="2185EAB8" w14:textId="77777777" w:rsidR="009C5645" w:rsidRPr="00BA72D7" w:rsidRDefault="009C5645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862622" w14:textId="2EEE0482" w:rsidR="009C5645" w:rsidRPr="00BA72D7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 xml:space="preserve">Location and nature of all existing sports facilities </w:t>
            </w:r>
            <w:r>
              <w:rPr>
                <w:sz w:val="19"/>
                <w:szCs w:val="19"/>
              </w:rPr>
              <w:t>(clearly showing any revised locations from the existing plan)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18FD8BFE" w14:textId="77777777" w:rsidTr="00955A02">
        <w:tc>
          <w:tcPr>
            <w:tcW w:w="1413" w:type="dxa"/>
            <w:vMerge/>
          </w:tcPr>
          <w:p w14:paraId="395CEFAE" w14:textId="77777777" w:rsidR="009C5645" w:rsidRPr="00BA72D7" w:rsidRDefault="009C5645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7A03AD3" w14:textId="3E6050CF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Any changes to existing features and levels</w:t>
            </w:r>
            <w:r w:rsidR="00977DDD" w:rsidRPr="009C5645">
              <w:rPr>
                <w:rFonts w:cs="Arial"/>
                <w:color w:val="000000" w:themeColor="text1"/>
                <w:sz w:val="20"/>
                <w:szCs w:val="20"/>
              </w:rPr>
              <w:t>¹</w:t>
            </w:r>
            <w:r w:rsidR="00EC5C2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C5645" w:rsidRPr="00BA72D7" w14:paraId="1F71C9DA" w14:textId="77777777" w:rsidTr="00955A02">
        <w:tc>
          <w:tcPr>
            <w:tcW w:w="1413" w:type="dxa"/>
            <w:vMerge w:val="restart"/>
          </w:tcPr>
          <w:p w14:paraId="08FCAC7D" w14:textId="411A4BAD" w:rsidR="009C5645" w:rsidRPr="00CD4AED" w:rsidRDefault="009C5645" w:rsidP="00955A02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Supporting Statements</w:t>
            </w:r>
          </w:p>
        </w:tc>
        <w:tc>
          <w:tcPr>
            <w:tcW w:w="7371" w:type="dxa"/>
            <w:gridSpan w:val="2"/>
            <w:tcBorders>
              <w:bottom w:val="single" w:sz="4" w:space="0" w:color="808080" w:themeColor="background1" w:themeShade="80"/>
            </w:tcBorders>
          </w:tcPr>
          <w:p w14:paraId="0B643C81" w14:textId="4CCF2A86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Extent of playing field area to be lost (area in hectares</w:t>
            </w:r>
            <w:r w:rsidR="00977DDD">
              <w:rPr>
                <w:sz w:val="19"/>
                <w:szCs w:val="19"/>
              </w:rPr>
              <w:t xml:space="preserve"> and see point 8 above</w:t>
            </w:r>
            <w:r w:rsidRPr="009C5645">
              <w:rPr>
                <w:sz w:val="19"/>
                <w:szCs w:val="19"/>
              </w:rPr>
              <w:t>)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5B020A6D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1646C26E" w14:textId="28D61400" w:rsidR="009C5645" w:rsidRPr="00CD4AED" w:rsidRDefault="009C5645" w:rsidP="00835CED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4430ACC" w14:textId="645D793B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Reason for the chosen location and alternatives considered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2BE23B27" w14:textId="77777777" w:rsidTr="00955A02">
        <w:tc>
          <w:tcPr>
            <w:tcW w:w="1413" w:type="dxa"/>
            <w:vMerge/>
          </w:tcPr>
          <w:p w14:paraId="42E57F7A" w14:textId="77777777" w:rsidR="009C5645" w:rsidRPr="00CD4AED" w:rsidRDefault="009C5645" w:rsidP="00835CED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49FA8C39" w14:textId="5817D361" w:rsidR="009C5645" w:rsidRPr="009C5645" w:rsidRDefault="009C5645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>Any proposed changes in the provision of indoor and outdoor sports facilities on the site (including ancillary facilities)</w:t>
            </w:r>
            <w:r w:rsidR="00EC5C29">
              <w:rPr>
                <w:sz w:val="19"/>
                <w:szCs w:val="19"/>
              </w:rPr>
              <w:t>.</w:t>
            </w:r>
          </w:p>
        </w:tc>
      </w:tr>
      <w:tr w:rsidR="009C5645" w:rsidRPr="00BA72D7" w14:paraId="65C0A34A" w14:textId="77777777" w:rsidTr="00955A02">
        <w:tc>
          <w:tcPr>
            <w:tcW w:w="7650" w:type="dxa"/>
            <w:gridSpan w:val="2"/>
            <w:shd w:val="clear" w:color="auto" w:fill="DBDBDB" w:themeFill="accent3" w:themeFillTint="66"/>
          </w:tcPr>
          <w:p w14:paraId="176A9F78" w14:textId="5F383ACA" w:rsidR="009C5645" w:rsidRDefault="009C5645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 w:rsidRPr="00BF25CD">
              <w:rPr>
                <w:b/>
                <w:sz w:val="19"/>
                <w:szCs w:val="19"/>
              </w:rPr>
              <w:t xml:space="preserve">Required </w:t>
            </w:r>
            <w:r>
              <w:rPr>
                <w:b/>
                <w:sz w:val="19"/>
                <w:szCs w:val="19"/>
              </w:rPr>
              <w:t xml:space="preserve">in relation to </w:t>
            </w:r>
            <w:r w:rsidRPr="00BF25CD">
              <w:rPr>
                <w:b/>
                <w:sz w:val="19"/>
                <w:szCs w:val="19"/>
              </w:rPr>
              <w:t>specific policy exceptions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14:paraId="63483FB3" w14:textId="318E377E" w:rsidR="009C5645" w:rsidRPr="00955A02" w:rsidRDefault="009C5645" w:rsidP="009C5645">
            <w:pPr>
              <w:ind w:left="353" w:hanging="353"/>
              <w:jc w:val="center"/>
              <w:rPr>
                <w:rFonts w:cs="Arial"/>
                <w:b/>
                <w:sz w:val="17"/>
                <w:szCs w:val="17"/>
              </w:rPr>
            </w:pPr>
            <w:r w:rsidRPr="00955A02">
              <w:rPr>
                <w:rFonts w:cs="Arial"/>
                <w:b/>
                <w:sz w:val="17"/>
                <w:szCs w:val="17"/>
              </w:rPr>
              <w:t>Exceptions</w:t>
            </w:r>
          </w:p>
        </w:tc>
      </w:tr>
      <w:tr w:rsidR="00CD4AED" w:rsidRPr="00BA72D7" w14:paraId="796AEDC7" w14:textId="77777777" w:rsidTr="00955A02">
        <w:tc>
          <w:tcPr>
            <w:tcW w:w="1413" w:type="dxa"/>
          </w:tcPr>
          <w:p w14:paraId="51F052DC" w14:textId="77777777" w:rsidR="00CD4AED" w:rsidRPr="00CD4AED" w:rsidRDefault="00CD4AED" w:rsidP="00955A02">
            <w:pPr>
              <w:rPr>
                <w:rFonts w:cs="Arial"/>
                <w:b/>
                <w:sz w:val="19"/>
                <w:szCs w:val="19"/>
              </w:rPr>
            </w:pPr>
            <w:r w:rsidRPr="00CD4AED">
              <w:rPr>
                <w:rFonts w:cs="Arial"/>
                <w:b/>
                <w:sz w:val="19"/>
                <w:szCs w:val="19"/>
              </w:rPr>
              <w:lastRenderedPageBreak/>
              <w:t>D</w:t>
            </w:r>
            <w:r w:rsidR="00776FEF">
              <w:rPr>
                <w:rFonts w:cs="Arial"/>
                <w:b/>
                <w:sz w:val="19"/>
                <w:szCs w:val="19"/>
              </w:rPr>
              <w:t>rawings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14:paraId="0BA7959F" w14:textId="6271FF31" w:rsidR="00CD4AED" w:rsidRPr="009C5645" w:rsidRDefault="00CD4AED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rFonts w:cs="Arial"/>
                <w:sz w:val="19"/>
                <w:szCs w:val="19"/>
              </w:rPr>
            </w:pPr>
            <w:r w:rsidRPr="009C5645">
              <w:rPr>
                <w:sz w:val="19"/>
                <w:szCs w:val="19"/>
              </w:rPr>
              <w:t xml:space="preserve">Internal layouts </w:t>
            </w:r>
            <w:r w:rsidR="00CF1187" w:rsidRPr="009C5645">
              <w:rPr>
                <w:sz w:val="19"/>
                <w:szCs w:val="19"/>
              </w:rPr>
              <w:t xml:space="preserve">and elevations for </w:t>
            </w:r>
            <w:r w:rsidRPr="009C5645">
              <w:rPr>
                <w:sz w:val="19"/>
                <w:szCs w:val="19"/>
              </w:rPr>
              <w:t>proposed new, extended or enhanced sports facilities (including relevant ancillary facilities)</w:t>
            </w:r>
            <w:r w:rsidR="00682374" w:rsidRPr="009C5645">
              <w:rPr>
                <w:rFonts w:cs="Arial"/>
                <w:sz w:val="19"/>
                <w:szCs w:val="19"/>
              </w:rPr>
              <w:t>¹</w:t>
            </w:r>
            <w:r w:rsidR="00EC5C29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6D5BE4F1" w14:textId="77777777" w:rsidR="00CD4AED" w:rsidRPr="00BA72D7" w:rsidRDefault="00CA192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 4 &amp; 5</w:t>
            </w:r>
          </w:p>
        </w:tc>
      </w:tr>
      <w:tr w:rsidR="00955A02" w:rsidRPr="00DC6155" w14:paraId="7E8A82EC" w14:textId="77777777" w:rsidTr="00955A02">
        <w:tc>
          <w:tcPr>
            <w:tcW w:w="1413" w:type="dxa"/>
            <w:vMerge w:val="restart"/>
            <w:tcBorders>
              <w:right w:val="single" w:sz="4" w:space="0" w:color="000000" w:themeColor="text1"/>
            </w:tcBorders>
          </w:tcPr>
          <w:p w14:paraId="4907ABEE" w14:textId="77777777" w:rsidR="00955A02" w:rsidRPr="00601293" w:rsidRDefault="00955A02" w:rsidP="00955A02">
            <w:pPr>
              <w:rPr>
                <w:rFonts w:cs="Arial"/>
                <w:b/>
                <w:sz w:val="19"/>
                <w:szCs w:val="19"/>
              </w:rPr>
            </w:pPr>
            <w:r w:rsidRPr="00601293">
              <w:rPr>
                <w:rFonts w:cs="Arial"/>
                <w:b/>
                <w:sz w:val="19"/>
                <w:szCs w:val="19"/>
              </w:rPr>
              <w:t>Supporting Statements</w:t>
            </w:r>
          </w:p>
          <w:p w14:paraId="1C4F9B28" w14:textId="154497BE" w:rsidR="00955A02" w:rsidRPr="00601293" w:rsidRDefault="00955A02" w:rsidP="00955A02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5001397" w14:textId="0A5887A6" w:rsidR="00955A02" w:rsidRDefault="00955A02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Pr="00DC6155">
              <w:rPr>
                <w:sz w:val="19"/>
                <w:szCs w:val="19"/>
              </w:rPr>
              <w:t>urrent and recent users of the playing field</w:t>
            </w:r>
            <w:r>
              <w:rPr>
                <w:sz w:val="19"/>
                <w:szCs w:val="19"/>
              </w:rPr>
              <w:t xml:space="preserve"> and </w:t>
            </w:r>
            <w:r w:rsidRPr="00DC6155">
              <w:rPr>
                <w:sz w:val="19"/>
                <w:szCs w:val="19"/>
              </w:rPr>
              <w:t>the</w:t>
            </w:r>
            <w:r>
              <w:rPr>
                <w:sz w:val="19"/>
                <w:szCs w:val="19"/>
              </w:rPr>
              <w:t xml:space="preserve"> nature and extent of their use</w:t>
            </w:r>
            <w:r w:rsidR="00EC5C29">
              <w:rPr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12486655" w14:textId="26C07984" w:rsidR="00955A02" w:rsidRDefault="00955A0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1,4 &amp; 5</w:t>
            </w:r>
          </w:p>
        </w:tc>
      </w:tr>
      <w:tr w:rsidR="00955A02" w:rsidRPr="00DC6155" w14:paraId="2BB5CF64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22CD92D8" w14:textId="394333D1" w:rsidR="00955A02" w:rsidRDefault="00955A02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3872CBB" w14:textId="0F6DB4DD" w:rsidR="00955A02" w:rsidRPr="006D6CEA" w:rsidRDefault="00955A02" w:rsidP="00977DDD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the development fits with the findings of any relevant assessment of need and/or sports related strategy (a copy of, or a web link to, the assessment or strategy should be provided)</w:t>
            </w:r>
            <w:r w:rsidRPr="009C5645">
              <w:rPr>
                <w:rFonts w:cs="Arial"/>
                <w:color w:val="000000" w:themeColor="text1"/>
                <w:sz w:val="20"/>
                <w:szCs w:val="20"/>
              </w:rPr>
              <w:t>¹</w:t>
            </w:r>
            <w:r w:rsidRPr="009C5645">
              <w:rPr>
                <w:rFonts w:cs="Arial"/>
                <w:sz w:val="20"/>
                <w:szCs w:val="20"/>
              </w:rPr>
              <w:t xml:space="preserve"> ²</w:t>
            </w:r>
            <w:r w:rsidR="00EC5C2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10749FFE" w14:textId="740A56EE" w:rsidR="00955A02" w:rsidRDefault="00955A0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1, 4 &amp; 5</w:t>
            </w:r>
          </w:p>
          <w:p w14:paraId="33CBC79E" w14:textId="23B00605" w:rsidR="00955A02" w:rsidRDefault="00955A0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955A02" w:rsidRPr="00DC6155" w14:paraId="199E655A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78E204BE" w14:textId="264242AE" w:rsidR="00955A02" w:rsidRDefault="00955A02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11DCEFED" w14:textId="2A3E0F09" w:rsidR="00955A02" w:rsidRPr="003D4069" w:rsidRDefault="00955A02" w:rsidP="00955A02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the development will be of benefit to sport (including benefit to existing and potential users)</w:t>
            </w:r>
            <w:r w:rsidRPr="009C5645">
              <w:rPr>
                <w:rFonts w:cs="Arial"/>
                <w:sz w:val="20"/>
                <w:szCs w:val="20"/>
              </w:rPr>
              <w:t xml:space="preserve"> ²</w:t>
            </w:r>
            <w:r w:rsidR="00EC5C2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63ED1729" w14:textId="7D8AF13F" w:rsidR="00955A02" w:rsidRDefault="00955A0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 4 &amp; 5</w:t>
            </w:r>
          </w:p>
        </w:tc>
      </w:tr>
      <w:tr w:rsidR="00955A02" w:rsidRPr="00DC6155" w14:paraId="79989B60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6CA2DEEC" w14:textId="1F53F345" w:rsidR="00955A02" w:rsidRDefault="00955A02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F4EEA89" w14:textId="2EE5708E" w:rsidR="00955A02" w:rsidRDefault="00955A02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specification of any ancillary facilities e.g. floodlights</w:t>
            </w:r>
            <w:r w:rsidRPr="009C5645">
              <w:rPr>
                <w:rFonts w:cs="Arial"/>
                <w:color w:val="000000" w:themeColor="text1"/>
                <w:sz w:val="20"/>
                <w:szCs w:val="20"/>
              </w:rPr>
              <w:t>¹</w:t>
            </w:r>
            <w:r w:rsidR="00EC5C2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51886BB3" w14:textId="6413A2C4" w:rsidR="00955A02" w:rsidRDefault="00955A0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2, 4 &amp; 5</w:t>
            </w:r>
          </w:p>
        </w:tc>
      </w:tr>
      <w:tr w:rsidR="00955A02" w:rsidRPr="00DC6155" w14:paraId="3489B782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523CBDAC" w14:textId="7749AE5C" w:rsidR="00955A02" w:rsidRDefault="00955A02" w:rsidP="00955A02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7F454593" w14:textId="1171E1EB" w:rsidR="00955A02" w:rsidRDefault="00955A02" w:rsidP="00955A02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specification of any Artificial Grass Pitch and reason for the chosen surface type</w:t>
            </w:r>
            <w:r w:rsidRPr="009C5645">
              <w:rPr>
                <w:rFonts w:cs="Arial"/>
                <w:sz w:val="20"/>
                <w:szCs w:val="20"/>
              </w:rPr>
              <w:t>²</w:t>
            </w:r>
            <w:r w:rsidR="00EC5C2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1F8B0D4B" w14:textId="5F4A8A1A" w:rsidR="00955A02" w:rsidRDefault="00955A02" w:rsidP="00955A02">
            <w:pPr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 &amp; 5</w:t>
            </w:r>
          </w:p>
        </w:tc>
      </w:tr>
      <w:tr w:rsidR="00955A02" w:rsidRPr="00DC6155" w14:paraId="4B3C4015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6E8D9A8C" w14:textId="422D66FA" w:rsidR="00955A02" w:rsidRDefault="00955A02" w:rsidP="00835CED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96EE39F" w14:textId="16C2E98C" w:rsidR="00955A02" w:rsidRDefault="00955A02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any replacement area of playing field and ancillary facilities will </w:t>
            </w:r>
            <w:r w:rsidRPr="00476EE2">
              <w:rPr>
                <w:sz w:val="19"/>
                <w:szCs w:val="19"/>
              </w:rPr>
              <w:t>be delivered</w:t>
            </w:r>
            <w:r>
              <w:rPr>
                <w:sz w:val="19"/>
                <w:szCs w:val="19"/>
              </w:rPr>
              <w:t xml:space="preserve"> (including </w:t>
            </w:r>
            <w:r w:rsidRPr="00476EE2">
              <w:rPr>
                <w:sz w:val="19"/>
                <w:szCs w:val="19"/>
              </w:rPr>
              <w:t>to what timescale</w:t>
            </w:r>
            <w:r>
              <w:rPr>
                <w:sz w:val="19"/>
                <w:szCs w:val="19"/>
              </w:rPr>
              <w:t>)</w:t>
            </w:r>
            <w:r w:rsidR="00EC5C29">
              <w:rPr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</w:tcBorders>
          </w:tcPr>
          <w:p w14:paraId="3E1F20DB" w14:textId="07B4E161" w:rsidR="00955A02" w:rsidRDefault="00955A02" w:rsidP="009C5645">
            <w:pPr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</w:t>
            </w:r>
          </w:p>
        </w:tc>
      </w:tr>
      <w:tr w:rsidR="00955A02" w:rsidRPr="00DC6155" w14:paraId="15C4DE41" w14:textId="77777777" w:rsidTr="00955A02">
        <w:tc>
          <w:tcPr>
            <w:tcW w:w="1413" w:type="dxa"/>
            <w:vMerge/>
            <w:tcBorders>
              <w:right w:val="single" w:sz="4" w:space="0" w:color="000000" w:themeColor="text1"/>
            </w:tcBorders>
          </w:tcPr>
          <w:p w14:paraId="61734D41" w14:textId="77777777" w:rsidR="00955A02" w:rsidRDefault="00955A02" w:rsidP="00835CED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0FE2B" w14:textId="290AA2C4" w:rsidR="00955A02" w:rsidRDefault="00955A02" w:rsidP="009C5645">
            <w:pPr>
              <w:pStyle w:val="ListParagraph"/>
              <w:numPr>
                <w:ilvl w:val="0"/>
                <w:numId w:val="25"/>
              </w:numPr>
              <w:ind w:left="353" w:hanging="35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How, for any replacement area of playing field, equivalent or better quality will be achieved and maintained, including</w:t>
            </w:r>
            <w:r w:rsidRPr="009C5645">
              <w:rPr>
                <w:rFonts w:cs="Arial"/>
                <w:sz w:val="20"/>
                <w:szCs w:val="20"/>
              </w:rPr>
              <w:t>³</w:t>
            </w:r>
            <w:r>
              <w:rPr>
                <w:sz w:val="19"/>
                <w:szCs w:val="19"/>
              </w:rPr>
              <w:t>:</w:t>
            </w:r>
          </w:p>
          <w:p w14:paraId="1FAB143E" w14:textId="30865321" w:rsidR="00955A02" w:rsidRDefault="00955A02" w:rsidP="009C5645">
            <w:pPr>
              <w:pStyle w:val="ListParagraph"/>
              <w:numPr>
                <w:ilvl w:val="1"/>
                <w:numId w:val="25"/>
              </w:numPr>
              <w:ind w:left="778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 assessment of the performance of the existing area;</w:t>
            </w:r>
          </w:p>
          <w:p w14:paraId="7B990946" w14:textId="77777777" w:rsidR="00955A02" w:rsidRDefault="00955A02" w:rsidP="009C5645">
            <w:pPr>
              <w:pStyle w:val="ListParagraph"/>
              <w:numPr>
                <w:ilvl w:val="1"/>
                <w:numId w:val="25"/>
              </w:numPr>
              <w:ind w:left="778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programme of works (including pitch construction) for the creation of the proposed replacement area;</w:t>
            </w:r>
          </w:p>
          <w:p w14:paraId="1F679879" w14:textId="6E17C3D6" w:rsidR="00955A02" w:rsidRDefault="00955A02" w:rsidP="009C5645">
            <w:pPr>
              <w:pStyle w:val="ListParagraph"/>
              <w:numPr>
                <w:ilvl w:val="1"/>
                <w:numId w:val="25"/>
              </w:numPr>
              <w:ind w:left="778" w:hanging="2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management and monitoring plan for the replacement area</w:t>
            </w:r>
            <w:r w:rsidR="00EC5C29">
              <w:rPr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</w:tcBorders>
          </w:tcPr>
          <w:p w14:paraId="645115F9" w14:textId="7A15175F" w:rsidR="00955A02" w:rsidRDefault="00955A02" w:rsidP="009C5645">
            <w:pPr>
              <w:ind w:left="353" w:hanging="353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</w:t>
            </w:r>
          </w:p>
        </w:tc>
      </w:tr>
    </w:tbl>
    <w:p w14:paraId="64CA3BE2" w14:textId="0BCF0333" w:rsidR="00BA72D7" w:rsidRPr="00977DDD" w:rsidRDefault="00BA72D7" w:rsidP="00BA72D7">
      <w:pPr>
        <w:ind w:left="567" w:hanging="567"/>
        <w:rPr>
          <w:rFonts w:cs="Arial"/>
          <w:color w:val="000000" w:themeColor="text1"/>
          <w:sz w:val="8"/>
          <w:szCs w:val="8"/>
        </w:rPr>
      </w:pPr>
    </w:p>
    <w:p w14:paraId="5FC77BEE" w14:textId="5F0B54A0" w:rsidR="00682374" w:rsidRPr="009C5645" w:rsidRDefault="00682374" w:rsidP="009C5645">
      <w:pPr>
        <w:ind w:left="284" w:hanging="284"/>
        <w:rPr>
          <w:rFonts w:cs="Arial"/>
          <w:sz w:val="17"/>
          <w:szCs w:val="17"/>
        </w:rPr>
      </w:pPr>
      <w:r w:rsidRPr="009C5645">
        <w:rPr>
          <w:rFonts w:cs="Arial"/>
          <w:color w:val="000000" w:themeColor="text1"/>
          <w:sz w:val="20"/>
          <w:szCs w:val="20"/>
        </w:rPr>
        <w:t>¹</w:t>
      </w:r>
      <w:r w:rsidR="00CD4AED" w:rsidRPr="009C5645">
        <w:rPr>
          <w:rFonts w:cs="Arial"/>
          <w:color w:val="000000" w:themeColor="text1"/>
          <w:sz w:val="20"/>
          <w:szCs w:val="20"/>
        </w:rPr>
        <w:t>.</w:t>
      </w:r>
      <w:r w:rsidR="00CD4AED" w:rsidRPr="009C5645">
        <w:rPr>
          <w:rFonts w:cs="Arial"/>
          <w:color w:val="000000" w:themeColor="text1"/>
          <w:sz w:val="17"/>
          <w:szCs w:val="17"/>
        </w:rPr>
        <w:t xml:space="preserve"> </w:t>
      </w:r>
      <w:r w:rsidRPr="009C5645">
        <w:rPr>
          <w:rFonts w:cs="Arial"/>
          <w:color w:val="000000" w:themeColor="text1"/>
          <w:sz w:val="17"/>
          <w:szCs w:val="17"/>
        </w:rPr>
        <w:tab/>
      </w:r>
      <w:r w:rsidR="00977DDD">
        <w:rPr>
          <w:rFonts w:cs="Arial"/>
          <w:color w:val="000000" w:themeColor="text1"/>
          <w:sz w:val="17"/>
          <w:szCs w:val="17"/>
        </w:rPr>
        <w:t>Level of detail to be proportiona</w:t>
      </w:r>
      <w:r w:rsidR="009C5645" w:rsidRPr="009C5645">
        <w:rPr>
          <w:rFonts w:cs="Arial"/>
          <w:color w:val="000000" w:themeColor="text1"/>
          <w:sz w:val="17"/>
          <w:szCs w:val="17"/>
        </w:rPr>
        <w:t xml:space="preserve">te to </w:t>
      </w:r>
      <w:r w:rsidR="00CD4AED" w:rsidRPr="009C5645">
        <w:rPr>
          <w:rFonts w:cs="Arial"/>
          <w:color w:val="000000" w:themeColor="text1"/>
          <w:sz w:val="17"/>
          <w:szCs w:val="17"/>
        </w:rPr>
        <w:t>the nature of the development</w:t>
      </w:r>
      <w:r w:rsidR="00205F42" w:rsidRPr="009C5645">
        <w:rPr>
          <w:rFonts w:cs="Arial"/>
          <w:sz w:val="17"/>
          <w:szCs w:val="17"/>
        </w:rPr>
        <w:t xml:space="preserve"> and its impact on the playing field.  </w:t>
      </w:r>
    </w:p>
    <w:p w14:paraId="5F4AC97F" w14:textId="3507999F" w:rsidR="00A30E90" w:rsidRPr="009C5645" w:rsidRDefault="009C5645" w:rsidP="00682374">
      <w:pPr>
        <w:ind w:left="284" w:hanging="284"/>
        <w:rPr>
          <w:sz w:val="17"/>
          <w:szCs w:val="17"/>
        </w:rPr>
      </w:pPr>
      <w:r w:rsidRPr="009C5645">
        <w:rPr>
          <w:rFonts w:cs="Arial"/>
          <w:sz w:val="20"/>
          <w:szCs w:val="20"/>
        </w:rPr>
        <w:t>².</w:t>
      </w:r>
      <w:r w:rsidRPr="009C5645">
        <w:rPr>
          <w:rFonts w:cs="Arial"/>
          <w:sz w:val="17"/>
          <w:szCs w:val="17"/>
        </w:rPr>
        <w:t xml:space="preserve"> </w:t>
      </w:r>
      <w:r w:rsidRPr="009C5645">
        <w:rPr>
          <w:rFonts w:cs="Arial"/>
          <w:sz w:val="17"/>
          <w:szCs w:val="17"/>
        </w:rPr>
        <w:tab/>
      </w:r>
      <w:r w:rsidR="00955A02" w:rsidRPr="009C5645">
        <w:rPr>
          <w:sz w:val="17"/>
          <w:szCs w:val="17"/>
        </w:rPr>
        <w:t xml:space="preserve">Relevant for Exception 4 where </w:t>
      </w:r>
      <w:r w:rsidR="00955A02" w:rsidRPr="009C5645">
        <w:rPr>
          <w:color w:val="000000" w:themeColor="text1"/>
          <w:sz w:val="17"/>
          <w:szCs w:val="17"/>
        </w:rPr>
        <w:t>the loss of an area of playing field with a natural grass surface is proposed to be replaced elsewhere by a new area of playing field with an artificial surface.</w:t>
      </w:r>
      <w:r w:rsidR="00955A02">
        <w:rPr>
          <w:sz w:val="17"/>
          <w:szCs w:val="17"/>
        </w:rPr>
        <w:t xml:space="preserve"> </w:t>
      </w:r>
    </w:p>
    <w:p w14:paraId="4BEC03D4" w14:textId="0DE2E279" w:rsidR="00955A02" w:rsidRPr="009C5645" w:rsidRDefault="009C5645" w:rsidP="00955A02">
      <w:pPr>
        <w:ind w:left="284" w:hanging="284"/>
        <w:rPr>
          <w:sz w:val="17"/>
          <w:szCs w:val="17"/>
        </w:rPr>
      </w:pPr>
      <w:r w:rsidRPr="009C5645">
        <w:rPr>
          <w:rFonts w:cs="Arial"/>
          <w:sz w:val="20"/>
          <w:szCs w:val="20"/>
        </w:rPr>
        <w:t>³.</w:t>
      </w:r>
      <w:r w:rsidRPr="009C5645">
        <w:rPr>
          <w:rFonts w:cs="Arial"/>
          <w:sz w:val="17"/>
          <w:szCs w:val="17"/>
        </w:rPr>
        <w:t xml:space="preserve"> </w:t>
      </w:r>
      <w:r w:rsidRPr="009C5645">
        <w:rPr>
          <w:rFonts w:cs="Arial"/>
          <w:sz w:val="17"/>
          <w:szCs w:val="17"/>
        </w:rPr>
        <w:tab/>
      </w:r>
      <w:r w:rsidR="00955A02" w:rsidRPr="009C5645">
        <w:rPr>
          <w:sz w:val="17"/>
          <w:szCs w:val="17"/>
        </w:rPr>
        <w:t xml:space="preserve">All details should be undertaken and developed by a suitably qualified and experienced sports turf consultant, satisfy appropriate </w:t>
      </w:r>
      <w:hyperlink r:id="rId15" w:history="1">
        <w:r w:rsidR="00955A02" w:rsidRPr="00A82DC2">
          <w:rPr>
            <w:rStyle w:val="Hyperlink"/>
            <w:sz w:val="17"/>
            <w:szCs w:val="17"/>
          </w:rPr>
          <w:t>Sport England and NGB design guidance</w:t>
        </w:r>
      </w:hyperlink>
      <w:r w:rsidR="00955A02" w:rsidRPr="009C5645">
        <w:rPr>
          <w:sz w:val="17"/>
          <w:szCs w:val="17"/>
        </w:rPr>
        <w:t>, and have regard to Sport England’s ‘</w:t>
      </w:r>
      <w:hyperlink r:id="rId16" w:history="1">
        <w:r w:rsidR="00955A02" w:rsidRPr="00A82DC2">
          <w:rPr>
            <w:rStyle w:val="Hyperlink"/>
            <w:sz w:val="17"/>
            <w:szCs w:val="17"/>
          </w:rPr>
          <w:t>Equivalent Quality Assessment of Natural Turf Playing Fields</w:t>
        </w:r>
      </w:hyperlink>
      <w:r w:rsidR="00955A02" w:rsidRPr="009C5645">
        <w:rPr>
          <w:sz w:val="17"/>
          <w:szCs w:val="17"/>
        </w:rPr>
        <w:t>’ briefing note.</w:t>
      </w:r>
    </w:p>
    <w:p w14:paraId="76E17D11" w14:textId="77777777" w:rsidR="00955A02" w:rsidRDefault="00955A02" w:rsidP="009C5645">
      <w:pPr>
        <w:rPr>
          <w:rFonts w:cs="Arial"/>
          <w:b/>
          <w:color w:val="000000" w:themeColor="text1"/>
          <w:sz w:val="17"/>
          <w:szCs w:val="17"/>
          <w:u w:val="single"/>
        </w:rPr>
      </w:pPr>
    </w:p>
    <w:p w14:paraId="5AEF7A25" w14:textId="67EF8F4E" w:rsidR="00BA72D7" w:rsidRPr="009C5645" w:rsidRDefault="00BA72D7" w:rsidP="009C5645">
      <w:pPr>
        <w:rPr>
          <w:rFonts w:cs="Arial"/>
          <w:color w:val="000000" w:themeColor="text1"/>
          <w:sz w:val="17"/>
          <w:szCs w:val="17"/>
        </w:rPr>
      </w:pPr>
      <w:r w:rsidRPr="009C5645">
        <w:rPr>
          <w:rFonts w:cs="Arial"/>
          <w:b/>
          <w:color w:val="000000" w:themeColor="text1"/>
          <w:sz w:val="17"/>
          <w:szCs w:val="17"/>
          <w:u w:val="single"/>
        </w:rPr>
        <w:t>Note</w:t>
      </w:r>
      <w:r w:rsidR="009C5645" w:rsidRPr="009C5645">
        <w:rPr>
          <w:rFonts w:cs="Arial"/>
          <w:b/>
          <w:color w:val="000000" w:themeColor="text1"/>
          <w:sz w:val="17"/>
          <w:szCs w:val="17"/>
        </w:rPr>
        <w:t xml:space="preserve">: </w:t>
      </w:r>
      <w:r w:rsidRPr="009C5645">
        <w:rPr>
          <w:rFonts w:cs="Arial"/>
          <w:color w:val="000000" w:themeColor="text1"/>
          <w:sz w:val="17"/>
          <w:szCs w:val="17"/>
        </w:rPr>
        <w:t xml:space="preserve">As set out within the Government’s </w:t>
      </w:r>
      <w:proofErr w:type="spellStart"/>
      <w:r w:rsidRPr="009C5645">
        <w:rPr>
          <w:rFonts w:cs="Arial"/>
          <w:color w:val="000000" w:themeColor="text1"/>
          <w:sz w:val="17"/>
          <w:szCs w:val="17"/>
        </w:rPr>
        <w:t>Planing</w:t>
      </w:r>
      <w:proofErr w:type="spellEnd"/>
      <w:r w:rsidRPr="009C5645">
        <w:rPr>
          <w:rFonts w:cs="Arial"/>
          <w:color w:val="000000" w:themeColor="text1"/>
          <w:sz w:val="17"/>
          <w:szCs w:val="17"/>
        </w:rPr>
        <w:t xml:space="preserve"> Practice Guidance any plans or drawings must be drawn to an identified scale, and in the case of plans, must show the direction of north. Although not a requirement of legislation, the inclusion of a linear scale bar is also useful, particularly in the case of electronic submissions.</w:t>
      </w:r>
    </w:p>
    <w:sectPr w:rsidR="00BA72D7" w:rsidRPr="009C5645" w:rsidSect="00A82DC2">
      <w:footerReference w:type="default" r:id="rId17"/>
      <w:footnotePr>
        <w:numRestart w:val="eachPage"/>
      </w:footnotePr>
      <w:type w:val="continuous"/>
      <w:pgSz w:w="11906" w:h="16838"/>
      <w:pgMar w:top="993" w:right="1558" w:bottom="1135" w:left="1797" w:header="720" w:footer="420" w:gutter="0"/>
      <w:pgNumType w:start="0"/>
      <w:cols w:space="6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F4A6" w14:textId="77777777" w:rsidR="009C5645" w:rsidRDefault="009C5645">
      <w:r>
        <w:separator/>
      </w:r>
    </w:p>
  </w:endnote>
  <w:endnote w:type="continuationSeparator" w:id="0">
    <w:p w14:paraId="39E3882D" w14:textId="77777777" w:rsidR="009C5645" w:rsidRDefault="009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9513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A4A957" w14:textId="77777777" w:rsidR="009C5645" w:rsidRDefault="009C5645">
        <w:pPr>
          <w:pStyle w:val="Footer"/>
          <w:jc w:val="center"/>
          <w:rPr>
            <w:noProof/>
            <w:sz w:val="20"/>
            <w:szCs w:val="20"/>
          </w:rPr>
        </w:pPr>
      </w:p>
      <w:p w14:paraId="070141C8" w14:textId="77777777" w:rsidR="009C5645" w:rsidRPr="007E6557" w:rsidRDefault="00BA1DF4">
        <w:pPr>
          <w:pStyle w:val="Footer"/>
          <w:jc w:val="center"/>
          <w:rPr>
            <w:sz w:val="20"/>
            <w:szCs w:val="20"/>
          </w:rPr>
        </w:pPr>
      </w:p>
    </w:sdtContent>
  </w:sdt>
  <w:p w14:paraId="56453A98" w14:textId="77777777" w:rsidR="009C5645" w:rsidRPr="00D6604A" w:rsidRDefault="009C5645" w:rsidP="00D6604A">
    <w:pPr>
      <w:pStyle w:val="Footer"/>
      <w:ind w:right="360"/>
      <w:jc w:val="center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C8BF" w14:textId="77777777" w:rsidR="009C5645" w:rsidRDefault="009C5645">
      <w:r>
        <w:separator/>
      </w:r>
    </w:p>
  </w:footnote>
  <w:footnote w:type="continuationSeparator" w:id="0">
    <w:p w14:paraId="0E3D268B" w14:textId="77777777" w:rsidR="009C5645" w:rsidRDefault="009C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669"/>
    <w:multiLevelType w:val="hybridMultilevel"/>
    <w:tmpl w:val="44D290AC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2370615"/>
    <w:multiLevelType w:val="hybridMultilevel"/>
    <w:tmpl w:val="475883B2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1EE0"/>
    <w:multiLevelType w:val="hybridMultilevel"/>
    <w:tmpl w:val="787EE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B66A5"/>
    <w:multiLevelType w:val="hybridMultilevel"/>
    <w:tmpl w:val="23DC2FC0"/>
    <w:lvl w:ilvl="0" w:tplc="7624DB3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868B3"/>
    <w:multiLevelType w:val="hybridMultilevel"/>
    <w:tmpl w:val="00980402"/>
    <w:lvl w:ilvl="0" w:tplc="08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5D69"/>
    <w:multiLevelType w:val="hybridMultilevel"/>
    <w:tmpl w:val="A4A4A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72E"/>
    <w:multiLevelType w:val="hybridMultilevel"/>
    <w:tmpl w:val="F6385AFA"/>
    <w:lvl w:ilvl="0" w:tplc="5136E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6F21"/>
    <w:multiLevelType w:val="hybridMultilevel"/>
    <w:tmpl w:val="5C64D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6B8"/>
    <w:multiLevelType w:val="hybridMultilevel"/>
    <w:tmpl w:val="1BD40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2D22"/>
    <w:multiLevelType w:val="hybridMultilevel"/>
    <w:tmpl w:val="A636FA24"/>
    <w:lvl w:ilvl="0" w:tplc="BBE039E6">
      <w:start w:val="55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946D2"/>
    <w:multiLevelType w:val="hybridMultilevel"/>
    <w:tmpl w:val="A5B8FE8A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70C3"/>
    <w:multiLevelType w:val="hybridMultilevel"/>
    <w:tmpl w:val="61EC0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60FE8"/>
    <w:multiLevelType w:val="hybridMultilevel"/>
    <w:tmpl w:val="AC105BA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B361A"/>
    <w:multiLevelType w:val="hybridMultilevel"/>
    <w:tmpl w:val="1E8ADA02"/>
    <w:lvl w:ilvl="0" w:tplc="F7E25AD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381"/>
    <w:multiLevelType w:val="hybridMultilevel"/>
    <w:tmpl w:val="A82E7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432A3"/>
    <w:multiLevelType w:val="hybridMultilevel"/>
    <w:tmpl w:val="4FAAB65C"/>
    <w:lvl w:ilvl="0" w:tplc="63FE6A9C">
      <w:start w:val="31"/>
      <w:numFmt w:val="decimal"/>
      <w:lvlText w:val="%1."/>
      <w:lvlJc w:val="left"/>
      <w:pPr>
        <w:ind w:left="720" w:hanging="360"/>
      </w:pPr>
      <w:rPr>
        <w:rFonts w:cs="Arial"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403D"/>
    <w:multiLevelType w:val="hybridMultilevel"/>
    <w:tmpl w:val="79F64D8C"/>
    <w:lvl w:ilvl="0" w:tplc="057A7C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86DB2"/>
    <w:multiLevelType w:val="hybridMultilevel"/>
    <w:tmpl w:val="2CC042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02634"/>
    <w:multiLevelType w:val="hybridMultilevel"/>
    <w:tmpl w:val="615A152C"/>
    <w:lvl w:ilvl="0" w:tplc="155E151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3D7F"/>
    <w:multiLevelType w:val="hybridMultilevel"/>
    <w:tmpl w:val="3EDA9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9DC"/>
    <w:multiLevelType w:val="hybridMultilevel"/>
    <w:tmpl w:val="BB066ACA"/>
    <w:lvl w:ilvl="0" w:tplc="3B06A68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199B"/>
    <w:multiLevelType w:val="hybridMultilevel"/>
    <w:tmpl w:val="BE427564"/>
    <w:lvl w:ilvl="0" w:tplc="08090005">
      <w:start w:val="1"/>
      <w:numFmt w:val="bullet"/>
      <w:lvlText w:val=""/>
      <w:lvlJc w:val="left"/>
      <w:pPr>
        <w:tabs>
          <w:tab w:val="num" w:pos="56"/>
        </w:tabs>
        <w:ind w:left="56" w:firstLine="0"/>
      </w:pPr>
      <w:rPr>
        <w:rFonts w:ascii="Wingdings" w:hAnsi="Wingdings" w:hint="default"/>
        <w:b w:val="0"/>
        <w:i w:val="0"/>
        <w:sz w:val="20"/>
      </w:rPr>
    </w:lvl>
    <w:lvl w:ilvl="1" w:tplc="7624DB30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  <w:b w:val="0"/>
      </w:rPr>
    </w:lvl>
    <w:lvl w:ilvl="2" w:tplc="08090005">
      <w:start w:val="1"/>
      <w:numFmt w:val="bullet"/>
      <w:lvlText w:val=""/>
      <w:lvlJc w:val="left"/>
      <w:pPr>
        <w:tabs>
          <w:tab w:val="num" w:pos="2216"/>
        </w:tabs>
        <w:ind w:left="2216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2" w15:restartNumberingAfterBreak="0">
    <w:nsid w:val="7BF82237"/>
    <w:multiLevelType w:val="hybridMultilevel"/>
    <w:tmpl w:val="9DCC1BA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61AB8"/>
    <w:multiLevelType w:val="hybridMultilevel"/>
    <w:tmpl w:val="5470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32037"/>
    <w:multiLevelType w:val="hybridMultilevel"/>
    <w:tmpl w:val="3AA8C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5"/>
  </w:num>
  <w:num w:numId="5">
    <w:abstractNumId w:val="24"/>
  </w:num>
  <w:num w:numId="6">
    <w:abstractNumId w:val="0"/>
  </w:num>
  <w:num w:numId="7">
    <w:abstractNumId w:val="8"/>
  </w:num>
  <w:num w:numId="8">
    <w:abstractNumId w:val="22"/>
  </w:num>
  <w:num w:numId="9">
    <w:abstractNumId w:val="17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7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B1"/>
    <w:rsid w:val="000027C8"/>
    <w:rsid w:val="00005268"/>
    <w:rsid w:val="00007776"/>
    <w:rsid w:val="00007A54"/>
    <w:rsid w:val="00007D32"/>
    <w:rsid w:val="00011548"/>
    <w:rsid w:val="000136E1"/>
    <w:rsid w:val="00013AF4"/>
    <w:rsid w:val="0001434E"/>
    <w:rsid w:val="000150BE"/>
    <w:rsid w:val="0001587C"/>
    <w:rsid w:val="0001587F"/>
    <w:rsid w:val="00015C5A"/>
    <w:rsid w:val="00016C13"/>
    <w:rsid w:val="00020DF2"/>
    <w:rsid w:val="00021BE2"/>
    <w:rsid w:val="000259E8"/>
    <w:rsid w:val="00025D2A"/>
    <w:rsid w:val="0002659A"/>
    <w:rsid w:val="00031163"/>
    <w:rsid w:val="000318C2"/>
    <w:rsid w:val="0003234D"/>
    <w:rsid w:val="0003588F"/>
    <w:rsid w:val="00036EAF"/>
    <w:rsid w:val="0003726E"/>
    <w:rsid w:val="000409EC"/>
    <w:rsid w:val="00044520"/>
    <w:rsid w:val="00044E55"/>
    <w:rsid w:val="00045E2F"/>
    <w:rsid w:val="00045F26"/>
    <w:rsid w:val="000460F7"/>
    <w:rsid w:val="00050518"/>
    <w:rsid w:val="00052987"/>
    <w:rsid w:val="0005432C"/>
    <w:rsid w:val="000546AF"/>
    <w:rsid w:val="00054DD6"/>
    <w:rsid w:val="00055EF8"/>
    <w:rsid w:val="00060186"/>
    <w:rsid w:val="000643B2"/>
    <w:rsid w:val="00064F38"/>
    <w:rsid w:val="00067FA2"/>
    <w:rsid w:val="00070194"/>
    <w:rsid w:val="0007056B"/>
    <w:rsid w:val="00070D7D"/>
    <w:rsid w:val="00070EC1"/>
    <w:rsid w:val="00071470"/>
    <w:rsid w:val="00071ED3"/>
    <w:rsid w:val="00073094"/>
    <w:rsid w:val="000738A9"/>
    <w:rsid w:val="000759ED"/>
    <w:rsid w:val="00076706"/>
    <w:rsid w:val="00077B7F"/>
    <w:rsid w:val="00080AE3"/>
    <w:rsid w:val="00080FCF"/>
    <w:rsid w:val="0008109E"/>
    <w:rsid w:val="00082F1F"/>
    <w:rsid w:val="000848BC"/>
    <w:rsid w:val="0008496B"/>
    <w:rsid w:val="000852DE"/>
    <w:rsid w:val="00086692"/>
    <w:rsid w:val="00087B60"/>
    <w:rsid w:val="0009025A"/>
    <w:rsid w:val="00090993"/>
    <w:rsid w:val="00090EF9"/>
    <w:rsid w:val="00091F84"/>
    <w:rsid w:val="000925FE"/>
    <w:rsid w:val="00094B6E"/>
    <w:rsid w:val="00096079"/>
    <w:rsid w:val="000978BC"/>
    <w:rsid w:val="000A2903"/>
    <w:rsid w:val="000A3216"/>
    <w:rsid w:val="000A42EE"/>
    <w:rsid w:val="000A58C9"/>
    <w:rsid w:val="000B0305"/>
    <w:rsid w:val="000B16D0"/>
    <w:rsid w:val="000B4194"/>
    <w:rsid w:val="000B4589"/>
    <w:rsid w:val="000B541D"/>
    <w:rsid w:val="000B5997"/>
    <w:rsid w:val="000B696B"/>
    <w:rsid w:val="000B780E"/>
    <w:rsid w:val="000C283B"/>
    <w:rsid w:val="000C402F"/>
    <w:rsid w:val="000C49C3"/>
    <w:rsid w:val="000C4DB8"/>
    <w:rsid w:val="000C7722"/>
    <w:rsid w:val="000D1C8E"/>
    <w:rsid w:val="000D28D6"/>
    <w:rsid w:val="000D3886"/>
    <w:rsid w:val="000D52EB"/>
    <w:rsid w:val="000D5960"/>
    <w:rsid w:val="000D67CF"/>
    <w:rsid w:val="000D755B"/>
    <w:rsid w:val="000E041A"/>
    <w:rsid w:val="000E11B1"/>
    <w:rsid w:val="000E21E1"/>
    <w:rsid w:val="000E2B04"/>
    <w:rsid w:val="000E76AC"/>
    <w:rsid w:val="000F1037"/>
    <w:rsid w:val="000F116E"/>
    <w:rsid w:val="000F1C0E"/>
    <w:rsid w:val="000F265B"/>
    <w:rsid w:val="000F3B62"/>
    <w:rsid w:val="000F4C55"/>
    <w:rsid w:val="000F5037"/>
    <w:rsid w:val="000F639C"/>
    <w:rsid w:val="000F7266"/>
    <w:rsid w:val="00100B5D"/>
    <w:rsid w:val="001031C0"/>
    <w:rsid w:val="00103208"/>
    <w:rsid w:val="00103F4A"/>
    <w:rsid w:val="001046DD"/>
    <w:rsid w:val="0010490B"/>
    <w:rsid w:val="00106396"/>
    <w:rsid w:val="00112111"/>
    <w:rsid w:val="00112FB0"/>
    <w:rsid w:val="0011318F"/>
    <w:rsid w:val="00116CF6"/>
    <w:rsid w:val="00117271"/>
    <w:rsid w:val="00120D66"/>
    <w:rsid w:val="00122480"/>
    <w:rsid w:val="00126AEC"/>
    <w:rsid w:val="00126B28"/>
    <w:rsid w:val="00126B85"/>
    <w:rsid w:val="00127DB9"/>
    <w:rsid w:val="001314DB"/>
    <w:rsid w:val="0013181B"/>
    <w:rsid w:val="001320E9"/>
    <w:rsid w:val="0013340F"/>
    <w:rsid w:val="00134CE0"/>
    <w:rsid w:val="00136C68"/>
    <w:rsid w:val="00136EB6"/>
    <w:rsid w:val="00136F96"/>
    <w:rsid w:val="001379EA"/>
    <w:rsid w:val="001420E1"/>
    <w:rsid w:val="00142476"/>
    <w:rsid w:val="00142FDC"/>
    <w:rsid w:val="0014487F"/>
    <w:rsid w:val="00144B4A"/>
    <w:rsid w:val="001469A4"/>
    <w:rsid w:val="00151880"/>
    <w:rsid w:val="00152429"/>
    <w:rsid w:val="00155737"/>
    <w:rsid w:val="00155A2D"/>
    <w:rsid w:val="0015646B"/>
    <w:rsid w:val="00156DF1"/>
    <w:rsid w:val="00157474"/>
    <w:rsid w:val="00161099"/>
    <w:rsid w:val="001641E4"/>
    <w:rsid w:val="00164C5F"/>
    <w:rsid w:val="001701DD"/>
    <w:rsid w:val="00171B4A"/>
    <w:rsid w:val="00173243"/>
    <w:rsid w:val="0017628F"/>
    <w:rsid w:val="00177434"/>
    <w:rsid w:val="00177D92"/>
    <w:rsid w:val="001816B1"/>
    <w:rsid w:val="001826AA"/>
    <w:rsid w:val="001937EF"/>
    <w:rsid w:val="00194471"/>
    <w:rsid w:val="00194C28"/>
    <w:rsid w:val="00196CAF"/>
    <w:rsid w:val="00197CCA"/>
    <w:rsid w:val="001A086F"/>
    <w:rsid w:val="001A122C"/>
    <w:rsid w:val="001A138D"/>
    <w:rsid w:val="001A1C5B"/>
    <w:rsid w:val="001A2071"/>
    <w:rsid w:val="001A3B97"/>
    <w:rsid w:val="001A50B1"/>
    <w:rsid w:val="001A5ED9"/>
    <w:rsid w:val="001A6320"/>
    <w:rsid w:val="001B1908"/>
    <w:rsid w:val="001B2E99"/>
    <w:rsid w:val="001B3EEF"/>
    <w:rsid w:val="001B4B97"/>
    <w:rsid w:val="001B5FDF"/>
    <w:rsid w:val="001B6E10"/>
    <w:rsid w:val="001C2403"/>
    <w:rsid w:val="001C4E16"/>
    <w:rsid w:val="001D1445"/>
    <w:rsid w:val="001D3425"/>
    <w:rsid w:val="001D3EAB"/>
    <w:rsid w:val="001D580F"/>
    <w:rsid w:val="001D60EE"/>
    <w:rsid w:val="001D6778"/>
    <w:rsid w:val="001D78C6"/>
    <w:rsid w:val="001E0781"/>
    <w:rsid w:val="001E2DD3"/>
    <w:rsid w:val="001E5856"/>
    <w:rsid w:val="001E58D6"/>
    <w:rsid w:val="001E626C"/>
    <w:rsid w:val="001E759B"/>
    <w:rsid w:val="001F23F8"/>
    <w:rsid w:val="001F3EDC"/>
    <w:rsid w:val="001F4597"/>
    <w:rsid w:val="001F5E56"/>
    <w:rsid w:val="001F61BA"/>
    <w:rsid w:val="00202959"/>
    <w:rsid w:val="0020393D"/>
    <w:rsid w:val="00205107"/>
    <w:rsid w:val="00205B61"/>
    <w:rsid w:val="00205F42"/>
    <w:rsid w:val="0020607E"/>
    <w:rsid w:val="00212334"/>
    <w:rsid w:val="00212D97"/>
    <w:rsid w:val="00213B9D"/>
    <w:rsid w:val="00215371"/>
    <w:rsid w:val="00215ADF"/>
    <w:rsid w:val="00216215"/>
    <w:rsid w:val="00216733"/>
    <w:rsid w:val="0021774D"/>
    <w:rsid w:val="00217929"/>
    <w:rsid w:val="00217A5B"/>
    <w:rsid w:val="0022175C"/>
    <w:rsid w:val="00222D73"/>
    <w:rsid w:val="002240DE"/>
    <w:rsid w:val="002253D5"/>
    <w:rsid w:val="00225532"/>
    <w:rsid w:val="00230120"/>
    <w:rsid w:val="002324F2"/>
    <w:rsid w:val="00232C08"/>
    <w:rsid w:val="00233325"/>
    <w:rsid w:val="00241707"/>
    <w:rsid w:val="00241776"/>
    <w:rsid w:val="00243375"/>
    <w:rsid w:val="002434B0"/>
    <w:rsid w:val="002450F6"/>
    <w:rsid w:val="00245784"/>
    <w:rsid w:val="0024706B"/>
    <w:rsid w:val="00250A5D"/>
    <w:rsid w:val="00251D1F"/>
    <w:rsid w:val="00251E0B"/>
    <w:rsid w:val="00252A2C"/>
    <w:rsid w:val="00256050"/>
    <w:rsid w:val="002563CF"/>
    <w:rsid w:val="00257B62"/>
    <w:rsid w:val="00264A5D"/>
    <w:rsid w:val="00264E02"/>
    <w:rsid w:val="002657FB"/>
    <w:rsid w:val="00265AD5"/>
    <w:rsid w:val="0027068A"/>
    <w:rsid w:val="00271E30"/>
    <w:rsid w:val="00274CAB"/>
    <w:rsid w:val="00282980"/>
    <w:rsid w:val="00282CC5"/>
    <w:rsid w:val="00283DE9"/>
    <w:rsid w:val="00285519"/>
    <w:rsid w:val="0028689C"/>
    <w:rsid w:val="00287D35"/>
    <w:rsid w:val="00291E09"/>
    <w:rsid w:val="002937DA"/>
    <w:rsid w:val="00295D5C"/>
    <w:rsid w:val="002965F1"/>
    <w:rsid w:val="002967A8"/>
    <w:rsid w:val="00296B9C"/>
    <w:rsid w:val="00297EC8"/>
    <w:rsid w:val="002A00F9"/>
    <w:rsid w:val="002A2805"/>
    <w:rsid w:val="002B318E"/>
    <w:rsid w:val="002B4254"/>
    <w:rsid w:val="002B4DE5"/>
    <w:rsid w:val="002B4F63"/>
    <w:rsid w:val="002B63BA"/>
    <w:rsid w:val="002C0095"/>
    <w:rsid w:val="002C0672"/>
    <w:rsid w:val="002C31AA"/>
    <w:rsid w:val="002C4E84"/>
    <w:rsid w:val="002C5369"/>
    <w:rsid w:val="002C68CC"/>
    <w:rsid w:val="002C7DF7"/>
    <w:rsid w:val="002C7F98"/>
    <w:rsid w:val="002D331E"/>
    <w:rsid w:val="002D3534"/>
    <w:rsid w:val="002D3B95"/>
    <w:rsid w:val="002D4580"/>
    <w:rsid w:val="002E0586"/>
    <w:rsid w:val="002E1C64"/>
    <w:rsid w:val="002E21F0"/>
    <w:rsid w:val="002E257A"/>
    <w:rsid w:val="002E2770"/>
    <w:rsid w:val="002E2962"/>
    <w:rsid w:val="002E6E92"/>
    <w:rsid w:val="002E6FD0"/>
    <w:rsid w:val="002F1525"/>
    <w:rsid w:val="002F1E18"/>
    <w:rsid w:val="002F313D"/>
    <w:rsid w:val="002F3FA5"/>
    <w:rsid w:val="002F4900"/>
    <w:rsid w:val="002F4FEB"/>
    <w:rsid w:val="002F6F6A"/>
    <w:rsid w:val="003002F7"/>
    <w:rsid w:val="00303BF4"/>
    <w:rsid w:val="00304A4F"/>
    <w:rsid w:val="00305DE4"/>
    <w:rsid w:val="00307F52"/>
    <w:rsid w:val="00311F8E"/>
    <w:rsid w:val="003130D3"/>
    <w:rsid w:val="00314FB2"/>
    <w:rsid w:val="003174C0"/>
    <w:rsid w:val="0032193C"/>
    <w:rsid w:val="003239E0"/>
    <w:rsid w:val="00324BE1"/>
    <w:rsid w:val="00326ED3"/>
    <w:rsid w:val="00327E5A"/>
    <w:rsid w:val="00333235"/>
    <w:rsid w:val="00333C0D"/>
    <w:rsid w:val="00336010"/>
    <w:rsid w:val="00336203"/>
    <w:rsid w:val="0034034B"/>
    <w:rsid w:val="00343525"/>
    <w:rsid w:val="00343F1E"/>
    <w:rsid w:val="00345E68"/>
    <w:rsid w:val="00351D19"/>
    <w:rsid w:val="003629F8"/>
    <w:rsid w:val="00362A08"/>
    <w:rsid w:val="0036300B"/>
    <w:rsid w:val="00366A92"/>
    <w:rsid w:val="003676CF"/>
    <w:rsid w:val="003723C4"/>
    <w:rsid w:val="0037266B"/>
    <w:rsid w:val="00377530"/>
    <w:rsid w:val="00381FEE"/>
    <w:rsid w:val="0038342A"/>
    <w:rsid w:val="00384905"/>
    <w:rsid w:val="0038557C"/>
    <w:rsid w:val="00390DD3"/>
    <w:rsid w:val="00391C59"/>
    <w:rsid w:val="00394A90"/>
    <w:rsid w:val="00395BF0"/>
    <w:rsid w:val="003A0645"/>
    <w:rsid w:val="003A07B7"/>
    <w:rsid w:val="003A2267"/>
    <w:rsid w:val="003A4AD9"/>
    <w:rsid w:val="003A51DF"/>
    <w:rsid w:val="003A573C"/>
    <w:rsid w:val="003A5890"/>
    <w:rsid w:val="003B36D5"/>
    <w:rsid w:val="003B628D"/>
    <w:rsid w:val="003B6BFA"/>
    <w:rsid w:val="003C077C"/>
    <w:rsid w:val="003C1386"/>
    <w:rsid w:val="003C153F"/>
    <w:rsid w:val="003C23D6"/>
    <w:rsid w:val="003C2945"/>
    <w:rsid w:val="003C4CF4"/>
    <w:rsid w:val="003C5F0E"/>
    <w:rsid w:val="003C6582"/>
    <w:rsid w:val="003C7BB3"/>
    <w:rsid w:val="003D0841"/>
    <w:rsid w:val="003D2D20"/>
    <w:rsid w:val="003D4069"/>
    <w:rsid w:val="003D54BF"/>
    <w:rsid w:val="003D701C"/>
    <w:rsid w:val="003D70E9"/>
    <w:rsid w:val="003E1917"/>
    <w:rsid w:val="003E25BE"/>
    <w:rsid w:val="003E4291"/>
    <w:rsid w:val="003E4913"/>
    <w:rsid w:val="003E496E"/>
    <w:rsid w:val="003E62CD"/>
    <w:rsid w:val="003E67D2"/>
    <w:rsid w:val="003E7C05"/>
    <w:rsid w:val="003F39D8"/>
    <w:rsid w:val="003F5A98"/>
    <w:rsid w:val="003F6684"/>
    <w:rsid w:val="004029E7"/>
    <w:rsid w:val="00403A9B"/>
    <w:rsid w:val="0040462F"/>
    <w:rsid w:val="004052D2"/>
    <w:rsid w:val="004110B9"/>
    <w:rsid w:val="004117A2"/>
    <w:rsid w:val="004139BD"/>
    <w:rsid w:val="004141AC"/>
    <w:rsid w:val="00416D56"/>
    <w:rsid w:val="00420685"/>
    <w:rsid w:val="00420ED5"/>
    <w:rsid w:val="004272B6"/>
    <w:rsid w:val="00427726"/>
    <w:rsid w:val="00427E09"/>
    <w:rsid w:val="004322C5"/>
    <w:rsid w:val="0043259D"/>
    <w:rsid w:val="004340A9"/>
    <w:rsid w:val="0043577F"/>
    <w:rsid w:val="00437D8A"/>
    <w:rsid w:val="00441160"/>
    <w:rsid w:val="00442B24"/>
    <w:rsid w:val="004448C2"/>
    <w:rsid w:val="00445CD4"/>
    <w:rsid w:val="00445CD8"/>
    <w:rsid w:val="00450B9A"/>
    <w:rsid w:val="00452020"/>
    <w:rsid w:val="00452245"/>
    <w:rsid w:val="00454D98"/>
    <w:rsid w:val="004555AD"/>
    <w:rsid w:val="00456616"/>
    <w:rsid w:val="00457E9A"/>
    <w:rsid w:val="00460CE7"/>
    <w:rsid w:val="0046123F"/>
    <w:rsid w:val="0046126F"/>
    <w:rsid w:val="00467A96"/>
    <w:rsid w:val="00476A91"/>
    <w:rsid w:val="00476EE2"/>
    <w:rsid w:val="004826B3"/>
    <w:rsid w:val="00484E11"/>
    <w:rsid w:val="0048534B"/>
    <w:rsid w:val="0048577A"/>
    <w:rsid w:val="00487B68"/>
    <w:rsid w:val="00490AA1"/>
    <w:rsid w:val="00492938"/>
    <w:rsid w:val="0049400E"/>
    <w:rsid w:val="004953E1"/>
    <w:rsid w:val="004A216A"/>
    <w:rsid w:val="004B0B5B"/>
    <w:rsid w:val="004B3E02"/>
    <w:rsid w:val="004B69DF"/>
    <w:rsid w:val="004B6B1D"/>
    <w:rsid w:val="004B745F"/>
    <w:rsid w:val="004C2BFC"/>
    <w:rsid w:val="004C313A"/>
    <w:rsid w:val="004C656B"/>
    <w:rsid w:val="004D0A8A"/>
    <w:rsid w:val="004D0A8E"/>
    <w:rsid w:val="004D1D65"/>
    <w:rsid w:val="004D34AD"/>
    <w:rsid w:val="004D3C13"/>
    <w:rsid w:val="004D4A1E"/>
    <w:rsid w:val="004E52B0"/>
    <w:rsid w:val="004E56BF"/>
    <w:rsid w:val="004F1840"/>
    <w:rsid w:val="004F38CE"/>
    <w:rsid w:val="004F5095"/>
    <w:rsid w:val="004F7136"/>
    <w:rsid w:val="004F7F1F"/>
    <w:rsid w:val="00501DA4"/>
    <w:rsid w:val="00503EA5"/>
    <w:rsid w:val="00506898"/>
    <w:rsid w:val="00507053"/>
    <w:rsid w:val="00507061"/>
    <w:rsid w:val="00510D2B"/>
    <w:rsid w:val="00514547"/>
    <w:rsid w:val="00514FEF"/>
    <w:rsid w:val="00524027"/>
    <w:rsid w:val="005244FE"/>
    <w:rsid w:val="00525E4C"/>
    <w:rsid w:val="00526A8B"/>
    <w:rsid w:val="005303B5"/>
    <w:rsid w:val="00530427"/>
    <w:rsid w:val="00530D9D"/>
    <w:rsid w:val="005332EC"/>
    <w:rsid w:val="00533C9F"/>
    <w:rsid w:val="00534891"/>
    <w:rsid w:val="00541305"/>
    <w:rsid w:val="0054186B"/>
    <w:rsid w:val="00541B2F"/>
    <w:rsid w:val="00543951"/>
    <w:rsid w:val="00546D6E"/>
    <w:rsid w:val="00547C4E"/>
    <w:rsid w:val="0055037B"/>
    <w:rsid w:val="00550542"/>
    <w:rsid w:val="00551883"/>
    <w:rsid w:val="00551918"/>
    <w:rsid w:val="00555CD0"/>
    <w:rsid w:val="005577D6"/>
    <w:rsid w:val="00560432"/>
    <w:rsid w:val="005604E8"/>
    <w:rsid w:val="005609D1"/>
    <w:rsid w:val="00564960"/>
    <w:rsid w:val="0056727B"/>
    <w:rsid w:val="005677C0"/>
    <w:rsid w:val="00570480"/>
    <w:rsid w:val="00570A2C"/>
    <w:rsid w:val="00573584"/>
    <w:rsid w:val="00573BEB"/>
    <w:rsid w:val="00576C37"/>
    <w:rsid w:val="00576EFC"/>
    <w:rsid w:val="00581E57"/>
    <w:rsid w:val="00583F1F"/>
    <w:rsid w:val="00584E9F"/>
    <w:rsid w:val="005901E4"/>
    <w:rsid w:val="00591093"/>
    <w:rsid w:val="00592879"/>
    <w:rsid w:val="005930E2"/>
    <w:rsid w:val="005949ED"/>
    <w:rsid w:val="00594A66"/>
    <w:rsid w:val="00597997"/>
    <w:rsid w:val="005A039E"/>
    <w:rsid w:val="005A23A0"/>
    <w:rsid w:val="005A27B8"/>
    <w:rsid w:val="005A2919"/>
    <w:rsid w:val="005A2CEB"/>
    <w:rsid w:val="005A3D00"/>
    <w:rsid w:val="005A456B"/>
    <w:rsid w:val="005A73B8"/>
    <w:rsid w:val="005A7B4B"/>
    <w:rsid w:val="005B02D0"/>
    <w:rsid w:val="005B03B6"/>
    <w:rsid w:val="005B1F7E"/>
    <w:rsid w:val="005B314C"/>
    <w:rsid w:val="005B4EC6"/>
    <w:rsid w:val="005B511C"/>
    <w:rsid w:val="005C06BF"/>
    <w:rsid w:val="005C09BC"/>
    <w:rsid w:val="005C2681"/>
    <w:rsid w:val="005C34E5"/>
    <w:rsid w:val="005C3B9F"/>
    <w:rsid w:val="005C3F72"/>
    <w:rsid w:val="005C5B28"/>
    <w:rsid w:val="005D183E"/>
    <w:rsid w:val="005D1E1E"/>
    <w:rsid w:val="005D22E3"/>
    <w:rsid w:val="005D2AE1"/>
    <w:rsid w:val="005D3656"/>
    <w:rsid w:val="005D5888"/>
    <w:rsid w:val="005D5ECE"/>
    <w:rsid w:val="005D6521"/>
    <w:rsid w:val="005D6882"/>
    <w:rsid w:val="005E207F"/>
    <w:rsid w:val="005E666E"/>
    <w:rsid w:val="005F0F45"/>
    <w:rsid w:val="005F19A0"/>
    <w:rsid w:val="005F3242"/>
    <w:rsid w:val="005F402E"/>
    <w:rsid w:val="005F4C84"/>
    <w:rsid w:val="005F5030"/>
    <w:rsid w:val="005F619E"/>
    <w:rsid w:val="005F6F21"/>
    <w:rsid w:val="00601293"/>
    <w:rsid w:val="0060763C"/>
    <w:rsid w:val="00607959"/>
    <w:rsid w:val="006100B9"/>
    <w:rsid w:val="00611F4F"/>
    <w:rsid w:val="00614EE1"/>
    <w:rsid w:val="00615387"/>
    <w:rsid w:val="00617DF9"/>
    <w:rsid w:val="00620083"/>
    <w:rsid w:val="006225E7"/>
    <w:rsid w:val="0062374C"/>
    <w:rsid w:val="006252C3"/>
    <w:rsid w:val="0062617C"/>
    <w:rsid w:val="00631B9B"/>
    <w:rsid w:val="00633B11"/>
    <w:rsid w:val="0064197C"/>
    <w:rsid w:val="00646010"/>
    <w:rsid w:val="00647BA5"/>
    <w:rsid w:val="0065073B"/>
    <w:rsid w:val="00651A27"/>
    <w:rsid w:val="00653B27"/>
    <w:rsid w:val="00653DD2"/>
    <w:rsid w:val="00653F6D"/>
    <w:rsid w:val="00660719"/>
    <w:rsid w:val="00660DF5"/>
    <w:rsid w:val="00661770"/>
    <w:rsid w:val="00661CFB"/>
    <w:rsid w:val="00664E99"/>
    <w:rsid w:val="00664F63"/>
    <w:rsid w:val="00671AF9"/>
    <w:rsid w:val="006726C0"/>
    <w:rsid w:val="00672EE6"/>
    <w:rsid w:val="00673534"/>
    <w:rsid w:val="0067377A"/>
    <w:rsid w:val="0067714E"/>
    <w:rsid w:val="00682374"/>
    <w:rsid w:val="006838E9"/>
    <w:rsid w:val="006848CD"/>
    <w:rsid w:val="00686227"/>
    <w:rsid w:val="00687809"/>
    <w:rsid w:val="0069093A"/>
    <w:rsid w:val="006912B7"/>
    <w:rsid w:val="00693177"/>
    <w:rsid w:val="006A2030"/>
    <w:rsid w:val="006A5CD7"/>
    <w:rsid w:val="006A7FA6"/>
    <w:rsid w:val="006B139D"/>
    <w:rsid w:val="006B2C2B"/>
    <w:rsid w:val="006B325B"/>
    <w:rsid w:val="006B4518"/>
    <w:rsid w:val="006B7CCE"/>
    <w:rsid w:val="006C0DEC"/>
    <w:rsid w:val="006C1405"/>
    <w:rsid w:val="006C2891"/>
    <w:rsid w:val="006C49E8"/>
    <w:rsid w:val="006C4D73"/>
    <w:rsid w:val="006C4DC1"/>
    <w:rsid w:val="006C70D1"/>
    <w:rsid w:val="006D0B39"/>
    <w:rsid w:val="006D17E2"/>
    <w:rsid w:val="006D51F9"/>
    <w:rsid w:val="006D6CEA"/>
    <w:rsid w:val="006D71B8"/>
    <w:rsid w:val="006D76DC"/>
    <w:rsid w:val="006E02EF"/>
    <w:rsid w:val="006E1301"/>
    <w:rsid w:val="006E550A"/>
    <w:rsid w:val="006E5FD2"/>
    <w:rsid w:val="006E61F5"/>
    <w:rsid w:val="006E6D5C"/>
    <w:rsid w:val="006F12E7"/>
    <w:rsid w:val="006F1D3A"/>
    <w:rsid w:val="006F37AB"/>
    <w:rsid w:val="006F5780"/>
    <w:rsid w:val="00701DDD"/>
    <w:rsid w:val="0070256E"/>
    <w:rsid w:val="00702B15"/>
    <w:rsid w:val="00703006"/>
    <w:rsid w:val="0070440A"/>
    <w:rsid w:val="00704736"/>
    <w:rsid w:val="00707680"/>
    <w:rsid w:val="0071213A"/>
    <w:rsid w:val="00712F2F"/>
    <w:rsid w:val="007201DE"/>
    <w:rsid w:val="00723064"/>
    <w:rsid w:val="00724238"/>
    <w:rsid w:val="007252AF"/>
    <w:rsid w:val="007267D5"/>
    <w:rsid w:val="00727A94"/>
    <w:rsid w:val="007303AB"/>
    <w:rsid w:val="00732D7A"/>
    <w:rsid w:val="00733C03"/>
    <w:rsid w:val="00733CFE"/>
    <w:rsid w:val="00733FA8"/>
    <w:rsid w:val="00734A69"/>
    <w:rsid w:val="007405CF"/>
    <w:rsid w:val="00742FE9"/>
    <w:rsid w:val="007438E2"/>
    <w:rsid w:val="00745C83"/>
    <w:rsid w:val="00751A39"/>
    <w:rsid w:val="00751A93"/>
    <w:rsid w:val="00752A61"/>
    <w:rsid w:val="007572F6"/>
    <w:rsid w:val="007577D3"/>
    <w:rsid w:val="00765226"/>
    <w:rsid w:val="00765534"/>
    <w:rsid w:val="007663F6"/>
    <w:rsid w:val="00766535"/>
    <w:rsid w:val="00767678"/>
    <w:rsid w:val="007700AB"/>
    <w:rsid w:val="0077056A"/>
    <w:rsid w:val="007709B9"/>
    <w:rsid w:val="00770F01"/>
    <w:rsid w:val="00771DEA"/>
    <w:rsid w:val="0077290B"/>
    <w:rsid w:val="0077299C"/>
    <w:rsid w:val="007729F9"/>
    <w:rsid w:val="00773846"/>
    <w:rsid w:val="0077460A"/>
    <w:rsid w:val="007755BB"/>
    <w:rsid w:val="00775C9F"/>
    <w:rsid w:val="00776A6D"/>
    <w:rsid w:val="00776F78"/>
    <w:rsid w:val="00776FEF"/>
    <w:rsid w:val="007803EA"/>
    <w:rsid w:val="00780704"/>
    <w:rsid w:val="00780E66"/>
    <w:rsid w:val="00780FB6"/>
    <w:rsid w:val="00781800"/>
    <w:rsid w:val="00781A96"/>
    <w:rsid w:val="00782A17"/>
    <w:rsid w:val="007843C8"/>
    <w:rsid w:val="00790511"/>
    <w:rsid w:val="00791CDA"/>
    <w:rsid w:val="007927FA"/>
    <w:rsid w:val="00797D9B"/>
    <w:rsid w:val="007A0003"/>
    <w:rsid w:val="007A0A00"/>
    <w:rsid w:val="007A11E5"/>
    <w:rsid w:val="007A42E0"/>
    <w:rsid w:val="007A5127"/>
    <w:rsid w:val="007A70DD"/>
    <w:rsid w:val="007B226A"/>
    <w:rsid w:val="007B28EE"/>
    <w:rsid w:val="007B4627"/>
    <w:rsid w:val="007B5E50"/>
    <w:rsid w:val="007C0DFE"/>
    <w:rsid w:val="007C1F21"/>
    <w:rsid w:val="007C25A6"/>
    <w:rsid w:val="007C3326"/>
    <w:rsid w:val="007C4C86"/>
    <w:rsid w:val="007C6507"/>
    <w:rsid w:val="007D0D94"/>
    <w:rsid w:val="007D0E22"/>
    <w:rsid w:val="007D5370"/>
    <w:rsid w:val="007D7977"/>
    <w:rsid w:val="007E2BEF"/>
    <w:rsid w:val="007E57A0"/>
    <w:rsid w:val="007E621B"/>
    <w:rsid w:val="007E6557"/>
    <w:rsid w:val="007E7C1F"/>
    <w:rsid w:val="007F13D4"/>
    <w:rsid w:val="007F22C9"/>
    <w:rsid w:val="007F2BD6"/>
    <w:rsid w:val="007F4136"/>
    <w:rsid w:val="007F570F"/>
    <w:rsid w:val="0080008B"/>
    <w:rsid w:val="00800463"/>
    <w:rsid w:val="008015B5"/>
    <w:rsid w:val="00801D66"/>
    <w:rsid w:val="00802A8E"/>
    <w:rsid w:val="00803B7A"/>
    <w:rsid w:val="00806157"/>
    <w:rsid w:val="00807D01"/>
    <w:rsid w:val="00812E98"/>
    <w:rsid w:val="0082465D"/>
    <w:rsid w:val="00824829"/>
    <w:rsid w:val="00824A86"/>
    <w:rsid w:val="00831D69"/>
    <w:rsid w:val="00832B17"/>
    <w:rsid w:val="008334F0"/>
    <w:rsid w:val="008351C4"/>
    <w:rsid w:val="008355CC"/>
    <w:rsid w:val="00835872"/>
    <w:rsid w:val="00835CED"/>
    <w:rsid w:val="00835F19"/>
    <w:rsid w:val="008450CE"/>
    <w:rsid w:val="00845685"/>
    <w:rsid w:val="008468BA"/>
    <w:rsid w:val="00846AAF"/>
    <w:rsid w:val="0084798D"/>
    <w:rsid w:val="00850079"/>
    <w:rsid w:val="00853BBD"/>
    <w:rsid w:val="008545C4"/>
    <w:rsid w:val="00857D13"/>
    <w:rsid w:val="00860732"/>
    <w:rsid w:val="00865CE2"/>
    <w:rsid w:val="00867C87"/>
    <w:rsid w:val="00870165"/>
    <w:rsid w:val="008725B2"/>
    <w:rsid w:val="0087290C"/>
    <w:rsid w:val="00872D67"/>
    <w:rsid w:val="00874880"/>
    <w:rsid w:val="00874B89"/>
    <w:rsid w:val="0087663A"/>
    <w:rsid w:val="00876A85"/>
    <w:rsid w:val="0087740D"/>
    <w:rsid w:val="00884177"/>
    <w:rsid w:val="00885094"/>
    <w:rsid w:val="008876DD"/>
    <w:rsid w:val="00892B73"/>
    <w:rsid w:val="00892FC4"/>
    <w:rsid w:val="00895734"/>
    <w:rsid w:val="008960FC"/>
    <w:rsid w:val="00897635"/>
    <w:rsid w:val="008978FA"/>
    <w:rsid w:val="008A03E9"/>
    <w:rsid w:val="008A1E6F"/>
    <w:rsid w:val="008A22C5"/>
    <w:rsid w:val="008A29E2"/>
    <w:rsid w:val="008A30B4"/>
    <w:rsid w:val="008A6DA1"/>
    <w:rsid w:val="008B28AA"/>
    <w:rsid w:val="008B6EFA"/>
    <w:rsid w:val="008C0645"/>
    <w:rsid w:val="008C1309"/>
    <w:rsid w:val="008C2669"/>
    <w:rsid w:val="008C498A"/>
    <w:rsid w:val="008C7307"/>
    <w:rsid w:val="008D5F95"/>
    <w:rsid w:val="008D67A9"/>
    <w:rsid w:val="008D77CE"/>
    <w:rsid w:val="008D7B2F"/>
    <w:rsid w:val="008E0618"/>
    <w:rsid w:val="008E1E1C"/>
    <w:rsid w:val="008F2F90"/>
    <w:rsid w:val="008F3375"/>
    <w:rsid w:val="008F49A8"/>
    <w:rsid w:val="008F6266"/>
    <w:rsid w:val="008F7DD6"/>
    <w:rsid w:val="00903FDF"/>
    <w:rsid w:val="009045B8"/>
    <w:rsid w:val="00905F1F"/>
    <w:rsid w:val="00907859"/>
    <w:rsid w:val="009116E9"/>
    <w:rsid w:val="00914D3E"/>
    <w:rsid w:val="009161D0"/>
    <w:rsid w:val="00916CC8"/>
    <w:rsid w:val="00916F2E"/>
    <w:rsid w:val="00917490"/>
    <w:rsid w:val="00921FCC"/>
    <w:rsid w:val="00922413"/>
    <w:rsid w:val="00922C58"/>
    <w:rsid w:val="0092329A"/>
    <w:rsid w:val="00925947"/>
    <w:rsid w:val="00927970"/>
    <w:rsid w:val="00927DC6"/>
    <w:rsid w:val="00930D90"/>
    <w:rsid w:val="00932F3C"/>
    <w:rsid w:val="00934138"/>
    <w:rsid w:val="009346CC"/>
    <w:rsid w:val="009358C0"/>
    <w:rsid w:val="009365EA"/>
    <w:rsid w:val="00941BC6"/>
    <w:rsid w:val="00943001"/>
    <w:rsid w:val="00945A2E"/>
    <w:rsid w:val="00946149"/>
    <w:rsid w:val="009521FE"/>
    <w:rsid w:val="00954C4E"/>
    <w:rsid w:val="00954FC1"/>
    <w:rsid w:val="009559C2"/>
    <w:rsid w:val="00955A02"/>
    <w:rsid w:val="00961072"/>
    <w:rsid w:val="0096144D"/>
    <w:rsid w:val="00962C83"/>
    <w:rsid w:val="0096470C"/>
    <w:rsid w:val="00966B8F"/>
    <w:rsid w:val="00970881"/>
    <w:rsid w:val="00974589"/>
    <w:rsid w:val="00974ACB"/>
    <w:rsid w:val="00975A17"/>
    <w:rsid w:val="00977BB0"/>
    <w:rsid w:val="00977BB4"/>
    <w:rsid w:val="00977DDD"/>
    <w:rsid w:val="0098021C"/>
    <w:rsid w:val="009807AA"/>
    <w:rsid w:val="009811E7"/>
    <w:rsid w:val="00981ABB"/>
    <w:rsid w:val="009829DE"/>
    <w:rsid w:val="009838F9"/>
    <w:rsid w:val="0098535C"/>
    <w:rsid w:val="009860B2"/>
    <w:rsid w:val="00986C0A"/>
    <w:rsid w:val="00992C81"/>
    <w:rsid w:val="0099459C"/>
    <w:rsid w:val="00994E74"/>
    <w:rsid w:val="00994FEC"/>
    <w:rsid w:val="0099579C"/>
    <w:rsid w:val="009A07C8"/>
    <w:rsid w:val="009A27CA"/>
    <w:rsid w:val="009A386B"/>
    <w:rsid w:val="009A399A"/>
    <w:rsid w:val="009A5D16"/>
    <w:rsid w:val="009A6913"/>
    <w:rsid w:val="009B0A34"/>
    <w:rsid w:val="009B2598"/>
    <w:rsid w:val="009B4A11"/>
    <w:rsid w:val="009B55ED"/>
    <w:rsid w:val="009B7E0B"/>
    <w:rsid w:val="009B7F07"/>
    <w:rsid w:val="009C0703"/>
    <w:rsid w:val="009C0751"/>
    <w:rsid w:val="009C122D"/>
    <w:rsid w:val="009C3151"/>
    <w:rsid w:val="009C3B4A"/>
    <w:rsid w:val="009C5645"/>
    <w:rsid w:val="009C5923"/>
    <w:rsid w:val="009C63C4"/>
    <w:rsid w:val="009D039B"/>
    <w:rsid w:val="009D16E9"/>
    <w:rsid w:val="009D1A9E"/>
    <w:rsid w:val="009D1CFC"/>
    <w:rsid w:val="009D7393"/>
    <w:rsid w:val="009D75BA"/>
    <w:rsid w:val="009E17FF"/>
    <w:rsid w:val="009E1D72"/>
    <w:rsid w:val="009E5887"/>
    <w:rsid w:val="009F1E9E"/>
    <w:rsid w:val="009F2944"/>
    <w:rsid w:val="009F2B38"/>
    <w:rsid w:val="009F338B"/>
    <w:rsid w:val="009F5785"/>
    <w:rsid w:val="009F602A"/>
    <w:rsid w:val="009F63E4"/>
    <w:rsid w:val="00A00197"/>
    <w:rsid w:val="00A021B8"/>
    <w:rsid w:val="00A04964"/>
    <w:rsid w:val="00A0591F"/>
    <w:rsid w:val="00A10E42"/>
    <w:rsid w:val="00A11A23"/>
    <w:rsid w:val="00A13105"/>
    <w:rsid w:val="00A1367A"/>
    <w:rsid w:val="00A1514D"/>
    <w:rsid w:val="00A15D1F"/>
    <w:rsid w:val="00A167A4"/>
    <w:rsid w:val="00A16E07"/>
    <w:rsid w:val="00A17D5C"/>
    <w:rsid w:val="00A2074B"/>
    <w:rsid w:val="00A2162B"/>
    <w:rsid w:val="00A21B06"/>
    <w:rsid w:val="00A22ECF"/>
    <w:rsid w:val="00A23347"/>
    <w:rsid w:val="00A2439B"/>
    <w:rsid w:val="00A248EA"/>
    <w:rsid w:val="00A259ED"/>
    <w:rsid w:val="00A2726C"/>
    <w:rsid w:val="00A30E90"/>
    <w:rsid w:val="00A3359B"/>
    <w:rsid w:val="00A3383D"/>
    <w:rsid w:val="00A33D7A"/>
    <w:rsid w:val="00A34F59"/>
    <w:rsid w:val="00A36251"/>
    <w:rsid w:val="00A37A60"/>
    <w:rsid w:val="00A41026"/>
    <w:rsid w:val="00A42FED"/>
    <w:rsid w:val="00A44FA6"/>
    <w:rsid w:val="00A46FD3"/>
    <w:rsid w:val="00A51A1B"/>
    <w:rsid w:val="00A53346"/>
    <w:rsid w:val="00A56D9F"/>
    <w:rsid w:val="00A57177"/>
    <w:rsid w:val="00A57433"/>
    <w:rsid w:val="00A576F6"/>
    <w:rsid w:val="00A61E54"/>
    <w:rsid w:val="00A63647"/>
    <w:rsid w:val="00A66862"/>
    <w:rsid w:val="00A66C16"/>
    <w:rsid w:val="00A70F32"/>
    <w:rsid w:val="00A70F9F"/>
    <w:rsid w:val="00A719D9"/>
    <w:rsid w:val="00A71C04"/>
    <w:rsid w:val="00A739F0"/>
    <w:rsid w:val="00A80FFB"/>
    <w:rsid w:val="00A82BDC"/>
    <w:rsid w:val="00A82DC2"/>
    <w:rsid w:val="00A83D5E"/>
    <w:rsid w:val="00A83EF4"/>
    <w:rsid w:val="00A8418F"/>
    <w:rsid w:val="00A86DE0"/>
    <w:rsid w:val="00A92279"/>
    <w:rsid w:val="00A92AA4"/>
    <w:rsid w:val="00A92DBB"/>
    <w:rsid w:val="00A941BB"/>
    <w:rsid w:val="00A95061"/>
    <w:rsid w:val="00AA0D52"/>
    <w:rsid w:val="00AA1BED"/>
    <w:rsid w:val="00AA3E14"/>
    <w:rsid w:val="00AA41C8"/>
    <w:rsid w:val="00AA47F8"/>
    <w:rsid w:val="00AA549F"/>
    <w:rsid w:val="00AA63B9"/>
    <w:rsid w:val="00AA655C"/>
    <w:rsid w:val="00AA6FAB"/>
    <w:rsid w:val="00AA7079"/>
    <w:rsid w:val="00AA7C91"/>
    <w:rsid w:val="00AB013F"/>
    <w:rsid w:val="00AB1CB9"/>
    <w:rsid w:val="00AB299D"/>
    <w:rsid w:val="00AB426D"/>
    <w:rsid w:val="00AB4FC8"/>
    <w:rsid w:val="00AB73FC"/>
    <w:rsid w:val="00AB75AE"/>
    <w:rsid w:val="00AB7E43"/>
    <w:rsid w:val="00AC154D"/>
    <w:rsid w:val="00AC1F17"/>
    <w:rsid w:val="00AC2095"/>
    <w:rsid w:val="00AC2677"/>
    <w:rsid w:val="00AC314B"/>
    <w:rsid w:val="00AC5122"/>
    <w:rsid w:val="00AC7BD8"/>
    <w:rsid w:val="00AC7E19"/>
    <w:rsid w:val="00AD104D"/>
    <w:rsid w:val="00AD36E8"/>
    <w:rsid w:val="00AD4777"/>
    <w:rsid w:val="00AE0F2C"/>
    <w:rsid w:val="00AE1420"/>
    <w:rsid w:val="00AE32B4"/>
    <w:rsid w:val="00AF0FE5"/>
    <w:rsid w:val="00AF4025"/>
    <w:rsid w:val="00AF431E"/>
    <w:rsid w:val="00AF4481"/>
    <w:rsid w:val="00AF70C6"/>
    <w:rsid w:val="00AF7DDD"/>
    <w:rsid w:val="00B002BF"/>
    <w:rsid w:val="00B00459"/>
    <w:rsid w:val="00B0097B"/>
    <w:rsid w:val="00B00D12"/>
    <w:rsid w:val="00B02BDF"/>
    <w:rsid w:val="00B03E04"/>
    <w:rsid w:val="00B04683"/>
    <w:rsid w:val="00B07F9B"/>
    <w:rsid w:val="00B10596"/>
    <w:rsid w:val="00B12893"/>
    <w:rsid w:val="00B136AE"/>
    <w:rsid w:val="00B14A58"/>
    <w:rsid w:val="00B14A8D"/>
    <w:rsid w:val="00B14D62"/>
    <w:rsid w:val="00B22558"/>
    <w:rsid w:val="00B22ACF"/>
    <w:rsid w:val="00B23DC2"/>
    <w:rsid w:val="00B245A8"/>
    <w:rsid w:val="00B25311"/>
    <w:rsid w:val="00B267FC"/>
    <w:rsid w:val="00B31775"/>
    <w:rsid w:val="00B32B4D"/>
    <w:rsid w:val="00B336F0"/>
    <w:rsid w:val="00B339F1"/>
    <w:rsid w:val="00B34BBC"/>
    <w:rsid w:val="00B35DD4"/>
    <w:rsid w:val="00B36313"/>
    <w:rsid w:val="00B370D6"/>
    <w:rsid w:val="00B37798"/>
    <w:rsid w:val="00B41EB3"/>
    <w:rsid w:val="00B4246F"/>
    <w:rsid w:val="00B438AD"/>
    <w:rsid w:val="00B44301"/>
    <w:rsid w:val="00B45331"/>
    <w:rsid w:val="00B51900"/>
    <w:rsid w:val="00B52B8D"/>
    <w:rsid w:val="00B548AB"/>
    <w:rsid w:val="00B57E5B"/>
    <w:rsid w:val="00B602E8"/>
    <w:rsid w:val="00B62147"/>
    <w:rsid w:val="00B629AC"/>
    <w:rsid w:val="00B6425C"/>
    <w:rsid w:val="00B65135"/>
    <w:rsid w:val="00B67226"/>
    <w:rsid w:val="00B67334"/>
    <w:rsid w:val="00B727B5"/>
    <w:rsid w:val="00B731DA"/>
    <w:rsid w:val="00B73D09"/>
    <w:rsid w:val="00B73D69"/>
    <w:rsid w:val="00B74B66"/>
    <w:rsid w:val="00B847E4"/>
    <w:rsid w:val="00B84FC8"/>
    <w:rsid w:val="00B85D32"/>
    <w:rsid w:val="00B85D76"/>
    <w:rsid w:val="00B868EE"/>
    <w:rsid w:val="00B8697B"/>
    <w:rsid w:val="00B908D0"/>
    <w:rsid w:val="00B94DEE"/>
    <w:rsid w:val="00B94EDE"/>
    <w:rsid w:val="00B967A0"/>
    <w:rsid w:val="00B96F89"/>
    <w:rsid w:val="00B97828"/>
    <w:rsid w:val="00BA145D"/>
    <w:rsid w:val="00BA177B"/>
    <w:rsid w:val="00BA179A"/>
    <w:rsid w:val="00BA2D4F"/>
    <w:rsid w:val="00BA4A2B"/>
    <w:rsid w:val="00BA640D"/>
    <w:rsid w:val="00BA67CD"/>
    <w:rsid w:val="00BA70C0"/>
    <w:rsid w:val="00BA72D7"/>
    <w:rsid w:val="00BA7D92"/>
    <w:rsid w:val="00BB1B84"/>
    <w:rsid w:val="00BB1DD7"/>
    <w:rsid w:val="00BB1F11"/>
    <w:rsid w:val="00BB3C0D"/>
    <w:rsid w:val="00BB456A"/>
    <w:rsid w:val="00BB7465"/>
    <w:rsid w:val="00BC09A3"/>
    <w:rsid w:val="00BC1215"/>
    <w:rsid w:val="00BC3406"/>
    <w:rsid w:val="00BC3A00"/>
    <w:rsid w:val="00BC5AFD"/>
    <w:rsid w:val="00BC606E"/>
    <w:rsid w:val="00BD0CA6"/>
    <w:rsid w:val="00BD0E73"/>
    <w:rsid w:val="00BD4877"/>
    <w:rsid w:val="00BD4D4F"/>
    <w:rsid w:val="00BD6F59"/>
    <w:rsid w:val="00BD6FDC"/>
    <w:rsid w:val="00BE00E0"/>
    <w:rsid w:val="00BE1CC2"/>
    <w:rsid w:val="00BE31DF"/>
    <w:rsid w:val="00BE7895"/>
    <w:rsid w:val="00BF1606"/>
    <w:rsid w:val="00BF2228"/>
    <w:rsid w:val="00BF25CD"/>
    <w:rsid w:val="00BF2EDB"/>
    <w:rsid w:val="00BF2F3B"/>
    <w:rsid w:val="00BF37E9"/>
    <w:rsid w:val="00BF5A10"/>
    <w:rsid w:val="00BF5C95"/>
    <w:rsid w:val="00BF711D"/>
    <w:rsid w:val="00C004E3"/>
    <w:rsid w:val="00C0266F"/>
    <w:rsid w:val="00C057A0"/>
    <w:rsid w:val="00C05A8F"/>
    <w:rsid w:val="00C0644A"/>
    <w:rsid w:val="00C07422"/>
    <w:rsid w:val="00C1115B"/>
    <w:rsid w:val="00C149E4"/>
    <w:rsid w:val="00C1793E"/>
    <w:rsid w:val="00C20C1D"/>
    <w:rsid w:val="00C20EBF"/>
    <w:rsid w:val="00C22D39"/>
    <w:rsid w:val="00C2761C"/>
    <w:rsid w:val="00C27D69"/>
    <w:rsid w:val="00C307D0"/>
    <w:rsid w:val="00C327B9"/>
    <w:rsid w:val="00C33B67"/>
    <w:rsid w:val="00C3459B"/>
    <w:rsid w:val="00C34C5A"/>
    <w:rsid w:val="00C3611D"/>
    <w:rsid w:val="00C373C8"/>
    <w:rsid w:val="00C3774C"/>
    <w:rsid w:val="00C37F38"/>
    <w:rsid w:val="00C431AA"/>
    <w:rsid w:val="00C43C4B"/>
    <w:rsid w:val="00C464A3"/>
    <w:rsid w:val="00C47D31"/>
    <w:rsid w:val="00C5072F"/>
    <w:rsid w:val="00C5141C"/>
    <w:rsid w:val="00C516AD"/>
    <w:rsid w:val="00C5265E"/>
    <w:rsid w:val="00C541D6"/>
    <w:rsid w:val="00C54CFC"/>
    <w:rsid w:val="00C57DE1"/>
    <w:rsid w:val="00C615E5"/>
    <w:rsid w:val="00C625AD"/>
    <w:rsid w:val="00C62BAD"/>
    <w:rsid w:val="00C6360F"/>
    <w:rsid w:val="00C644BC"/>
    <w:rsid w:val="00C6564F"/>
    <w:rsid w:val="00C66323"/>
    <w:rsid w:val="00C74A40"/>
    <w:rsid w:val="00C770F3"/>
    <w:rsid w:val="00C7749D"/>
    <w:rsid w:val="00C80450"/>
    <w:rsid w:val="00C817AC"/>
    <w:rsid w:val="00C836B3"/>
    <w:rsid w:val="00C83F84"/>
    <w:rsid w:val="00C8460E"/>
    <w:rsid w:val="00C8737D"/>
    <w:rsid w:val="00C9273E"/>
    <w:rsid w:val="00C92E69"/>
    <w:rsid w:val="00C936DA"/>
    <w:rsid w:val="00C953BD"/>
    <w:rsid w:val="00C96C74"/>
    <w:rsid w:val="00CA1922"/>
    <w:rsid w:val="00CA3E3C"/>
    <w:rsid w:val="00CA6355"/>
    <w:rsid w:val="00CB0A84"/>
    <w:rsid w:val="00CB13B5"/>
    <w:rsid w:val="00CB14C8"/>
    <w:rsid w:val="00CB3A9B"/>
    <w:rsid w:val="00CB4006"/>
    <w:rsid w:val="00CB4E54"/>
    <w:rsid w:val="00CB540F"/>
    <w:rsid w:val="00CB603E"/>
    <w:rsid w:val="00CB7F38"/>
    <w:rsid w:val="00CC114A"/>
    <w:rsid w:val="00CC2BD4"/>
    <w:rsid w:val="00CC381A"/>
    <w:rsid w:val="00CC3B17"/>
    <w:rsid w:val="00CC68C6"/>
    <w:rsid w:val="00CD1452"/>
    <w:rsid w:val="00CD1648"/>
    <w:rsid w:val="00CD2159"/>
    <w:rsid w:val="00CD2936"/>
    <w:rsid w:val="00CD33DA"/>
    <w:rsid w:val="00CD3B8D"/>
    <w:rsid w:val="00CD464B"/>
    <w:rsid w:val="00CD4AED"/>
    <w:rsid w:val="00CD6BE1"/>
    <w:rsid w:val="00CE1065"/>
    <w:rsid w:val="00CE155C"/>
    <w:rsid w:val="00CE2757"/>
    <w:rsid w:val="00CE34D2"/>
    <w:rsid w:val="00CE417C"/>
    <w:rsid w:val="00CF1187"/>
    <w:rsid w:val="00CF1BD6"/>
    <w:rsid w:val="00CF2977"/>
    <w:rsid w:val="00CF2BFA"/>
    <w:rsid w:val="00CF5F21"/>
    <w:rsid w:val="00D019B7"/>
    <w:rsid w:val="00D01ABD"/>
    <w:rsid w:val="00D02F8A"/>
    <w:rsid w:val="00D0345C"/>
    <w:rsid w:val="00D0390F"/>
    <w:rsid w:val="00D03C19"/>
    <w:rsid w:val="00D06B9E"/>
    <w:rsid w:val="00D10184"/>
    <w:rsid w:val="00D10F67"/>
    <w:rsid w:val="00D1121A"/>
    <w:rsid w:val="00D1433A"/>
    <w:rsid w:val="00D2069A"/>
    <w:rsid w:val="00D21E2E"/>
    <w:rsid w:val="00D22DF0"/>
    <w:rsid w:val="00D2445B"/>
    <w:rsid w:val="00D2537B"/>
    <w:rsid w:val="00D300F2"/>
    <w:rsid w:val="00D30F0A"/>
    <w:rsid w:val="00D315B9"/>
    <w:rsid w:val="00D31796"/>
    <w:rsid w:val="00D33448"/>
    <w:rsid w:val="00D33D08"/>
    <w:rsid w:val="00D358B1"/>
    <w:rsid w:val="00D36A39"/>
    <w:rsid w:val="00D36FF0"/>
    <w:rsid w:val="00D41646"/>
    <w:rsid w:val="00D422B4"/>
    <w:rsid w:val="00D447FB"/>
    <w:rsid w:val="00D453ED"/>
    <w:rsid w:val="00D46239"/>
    <w:rsid w:val="00D47641"/>
    <w:rsid w:val="00D506A8"/>
    <w:rsid w:val="00D5247C"/>
    <w:rsid w:val="00D52BEE"/>
    <w:rsid w:val="00D56ECF"/>
    <w:rsid w:val="00D57EA4"/>
    <w:rsid w:val="00D61C6A"/>
    <w:rsid w:val="00D6604A"/>
    <w:rsid w:val="00D66C72"/>
    <w:rsid w:val="00D714EE"/>
    <w:rsid w:val="00D71502"/>
    <w:rsid w:val="00D71A41"/>
    <w:rsid w:val="00D72318"/>
    <w:rsid w:val="00D73123"/>
    <w:rsid w:val="00D779B4"/>
    <w:rsid w:val="00D819E4"/>
    <w:rsid w:val="00D81D82"/>
    <w:rsid w:val="00D84256"/>
    <w:rsid w:val="00D84C96"/>
    <w:rsid w:val="00D93158"/>
    <w:rsid w:val="00D950A6"/>
    <w:rsid w:val="00D95B95"/>
    <w:rsid w:val="00D96959"/>
    <w:rsid w:val="00DA09C6"/>
    <w:rsid w:val="00DA10B8"/>
    <w:rsid w:val="00DA787E"/>
    <w:rsid w:val="00DB12FF"/>
    <w:rsid w:val="00DB1E4B"/>
    <w:rsid w:val="00DB27A2"/>
    <w:rsid w:val="00DB2D56"/>
    <w:rsid w:val="00DB49B8"/>
    <w:rsid w:val="00DB55DA"/>
    <w:rsid w:val="00DB5C34"/>
    <w:rsid w:val="00DB6736"/>
    <w:rsid w:val="00DC136B"/>
    <w:rsid w:val="00DC1507"/>
    <w:rsid w:val="00DC17E6"/>
    <w:rsid w:val="00DC25E6"/>
    <w:rsid w:val="00DC2646"/>
    <w:rsid w:val="00DC30E1"/>
    <w:rsid w:val="00DC343E"/>
    <w:rsid w:val="00DC56B8"/>
    <w:rsid w:val="00DC6155"/>
    <w:rsid w:val="00DD10CC"/>
    <w:rsid w:val="00DD229F"/>
    <w:rsid w:val="00DD22D8"/>
    <w:rsid w:val="00DD2DEC"/>
    <w:rsid w:val="00DD7001"/>
    <w:rsid w:val="00DD7209"/>
    <w:rsid w:val="00DE342B"/>
    <w:rsid w:val="00DE48FD"/>
    <w:rsid w:val="00DE5616"/>
    <w:rsid w:val="00DF107E"/>
    <w:rsid w:val="00DF3115"/>
    <w:rsid w:val="00DF3F13"/>
    <w:rsid w:val="00DF3F17"/>
    <w:rsid w:val="00DF4169"/>
    <w:rsid w:val="00DF5891"/>
    <w:rsid w:val="00DF6FD4"/>
    <w:rsid w:val="00E01406"/>
    <w:rsid w:val="00E02389"/>
    <w:rsid w:val="00E02735"/>
    <w:rsid w:val="00E03431"/>
    <w:rsid w:val="00E037B1"/>
    <w:rsid w:val="00E05CEE"/>
    <w:rsid w:val="00E05DF4"/>
    <w:rsid w:val="00E06AB8"/>
    <w:rsid w:val="00E11DCB"/>
    <w:rsid w:val="00E12523"/>
    <w:rsid w:val="00E15C53"/>
    <w:rsid w:val="00E1713F"/>
    <w:rsid w:val="00E2026E"/>
    <w:rsid w:val="00E20B00"/>
    <w:rsid w:val="00E21897"/>
    <w:rsid w:val="00E21D44"/>
    <w:rsid w:val="00E22E57"/>
    <w:rsid w:val="00E2376A"/>
    <w:rsid w:val="00E2460B"/>
    <w:rsid w:val="00E255A0"/>
    <w:rsid w:val="00E26E98"/>
    <w:rsid w:val="00E272CE"/>
    <w:rsid w:val="00E30410"/>
    <w:rsid w:val="00E31E24"/>
    <w:rsid w:val="00E349AF"/>
    <w:rsid w:val="00E34D14"/>
    <w:rsid w:val="00E40AA3"/>
    <w:rsid w:val="00E4219D"/>
    <w:rsid w:val="00E42C71"/>
    <w:rsid w:val="00E43223"/>
    <w:rsid w:val="00E4368F"/>
    <w:rsid w:val="00E44C99"/>
    <w:rsid w:val="00E4758E"/>
    <w:rsid w:val="00E4796C"/>
    <w:rsid w:val="00E50406"/>
    <w:rsid w:val="00E52B9B"/>
    <w:rsid w:val="00E552EB"/>
    <w:rsid w:val="00E561F9"/>
    <w:rsid w:val="00E62A5F"/>
    <w:rsid w:val="00E63F60"/>
    <w:rsid w:val="00E65873"/>
    <w:rsid w:val="00E6652C"/>
    <w:rsid w:val="00E67D83"/>
    <w:rsid w:val="00E7046E"/>
    <w:rsid w:val="00E70EA2"/>
    <w:rsid w:val="00E8027C"/>
    <w:rsid w:val="00E804B3"/>
    <w:rsid w:val="00E81681"/>
    <w:rsid w:val="00E84132"/>
    <w:rsid w:val="00E90C60"/>
    <w:rsid w:val="00E90DBE"/>
    <w:rsid w:val="00E91B46"/>
    <w:rsid w:val="00E942FF"/>
    <w:rsid w:val="00E94F53"/>
    <w:rsid w:val="00E951D2"/>
    <w:rsid w:val="00E967A2"/>
    <w:rsid w:val="00EA0178"/>
    <w:rsid w:val="00EA0C01"/>
    <w:rsid w:val="00EA2762"/>
    <w:rsid w:val="00EA2902"/>
    <w:rsid w:val="00EA62A9"/>
    <w:rsid w:val="00EA705F"/>
    <w:rsid w:val="00EA79C0"/>
    <w:rsid w:val="00EB130D"/>
    <w:rsid w:val="00EB1B6F"/>
    <w:rsid w:val="00EB1CDA"/>
    <w:rsid w:val="00EB2780"/>
    <w:rsid w:val="00EB2876"/>
    <w:rsid w:val="00EB2FBB"/>
    <w:rsid w:val="00EB67F5"/>
    <w:rsid w:val="00EB6AEB"/>
    <w:rsid w:val="00EC0802"/>
    <w:rsid w:val="00EC1FFF"/>
    <w:rsid w:val="00EC40D5"/>
    <w:rsid w:val="00EC438A"/>
    <w:rsid w:val="00EC5494"/>
    <w:rsid w:val="00EC5C29"/>
    <w:rsid w:val="00EC683E"/>
    <w:rsid w:val="00ED3AAD"/>
    <w:rsid w:val="00ED3CA8"/>
    <w:rsid w:val="00ED417E"/>
    <w:rsid w:val="00ED5127"/>
    <w:rsid w:val="00ED6670"/>
    <w:rsid w:val="00ED7047"/>
    <w:rsid w:val="00EE4194"/>
    <w:rsid w:val="00EF10E7"/>
    <w:rsid w:val="00EF130F"/>
    <w:rsid w:val="00EF2076"/>
    <w:rsid w:val="00EF245C"/>
    <w:rsid w:val="00EF31FF"/>
    <w:rsid w:val="00EF32EA"/>
    <w:rsid w:val="00EF3AEF"/>
    <w:rsid w:val="00EF60F7"/>
    <w:rsid w:val="00EF61DE"/>
    <w:rsid w:val="00EF640A"/>
    <w:rsid w:val="00EF660B"/>
    <w:rsid w:val="00EF7627"/>
    <w:rsid w:val="00EF7D00"/>
    <w:rsid w:val="00F0071C"/>
    <w:rsid w:val="00F03323"/>
    <w:rsid w:val="00F03BA0"/>
    <w:rsid w:val="00F05DBD"/>
    <w:rsid w:val="00F066AF"/>
    <w:rsid w:val="00F1003A"/>
    <w:rsid w:val="00F12B3B"/>
    <w:rsid w:val="00F21FC0"/>
    <w:rsid w:val="00F261D0"/>
    <w:rsid w:val="00F27CC4"/>
    <w:rsid w:val="00F27ECC"/>
    <w:rsid w:val="00F314D8"/>
    <w:rsid w:val="00F32E75"/>
    <w:rsid w:val="00F34088"/>
    <w:rsid w:val="00F3726A"/>
    <w:rsid w:val="00F37EAE"/>
    <w:rsid w:val="00F40D82"/>
    <w:rsid w:val="00F42E55"/>
    <w:rsid w:val="00F43690"/>
    <w:rsid w:val="00F43C61"/>
    <w:rsid w:val="00F465AE"/>
    <w:rsid w:val="00F505DB"/>
    <w:rsid w:val="00F51093"/>
    <w:rsid w:val="00F5321F"/>
    <w:rsid w:val="00F540B2"/>
    <w:rsid w:val="00F56A2E"/>
    <w:rsid w:val="00F56DB5"/>
    <w:rsid w:val="00F61A14"/>
    <w:rsid w:val="00F627DF"/>
    <w:rsid w:val="00F64565"/>
    <w:rsid w:val="00F66992"/>
    <w:rsid w:val="00F7099D"/>
    <w:rsid w:val="00F7151C"/>
    <w:rsid w:val="00F71B5C"/>
    <w:rsid w:val="00F76791"/>
    <w:rsid w:val="00F768F5"/>
    <w:rsid w:val="00F77474"/>
    <w:rsid w:val="00F776ED"/>
    <w:rsid w:val="00F82BE8"/>
    <w:rsid w:val="00F90BEC"/>
    <w:rsid w:val="00F921FC"/>
    <w:rsid w:val="00F9290D"/>
    <w:rsid w:val="00F9516C"/>
    <w:rsid w:val="00F9749A"/>
    <w:rsid w:val="00F97736"/>
    <w:rsid w:val="00FA1D07"/>
    <w:rsid w:val="00FA7AE2"/>
    <w:rsid w:val="00FB08EB"/>
    <w:rsid w:val="00FB2297"/>
    <w:rsid w:val="00FC02E1"/>
    <w:rsid w:val="00FC06AD"/>
    <w:rsid w:val="00FC1551"/>
    <w:rsid w:val="00FC3416"/>
    <w:rsid w:val="00FC4DF0"/>
    <w:rsid w:val="00FC5DBD"/>
    <w:rsid w:val="00FC6BFA"/>
    <w:rsid w:val="00FC7013"/>
    <w:rsid w:val="00FC7403"/>
    <w:rsid w:val="00FD039F"/>
    <w:rsid w:val="00FD40F8"/>
    <w:rsid w:val="00FD4DA2"/>
    <w:rsid w:val="00FD5AF1"/>
    <w:rsid w:val="00FD7A51"/>
    <w:rsid w:val="00FE266E"/>
    <w:rsid w:val="00FE3B7D"/>
    <w:rsid w:val="00FE740D"/>
    <w:rsid w:val="00FF16C5"/>
    <w:rsid w:val="00FF4A0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960B07"/>
  <w15:docId w15:val="{16011BF3-52D2-481D-A0B1-1A1A223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E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40" w:hanging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sz w:val="20"/>
    </w:rPr>
  </w:style>
  <w:style w:type="paragraph" w:styleId="BodyTextIndent2">
    <w:name w:val="Body Text Indent 2"/>
    <w:basedOn w:val="Normal"/>
    <w:pPr>
      <w:spacing w:line="360" w:lineRule="auto"/>
      <w:ind w:left="720" w:hanging="720"/>
    </w:pPr>
    <w:rPr>
      <w:sz w:val="20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cs="Arial"/>
      <w:i/>
      <w:iCs/>
      <w:sz w:val="16"/>
    </w:rPr>
  </w:style>
  <w:style w:type="paragraph" w:styleId="BodyText2">
    <w:name w:val="Body Text 2"/>
    <w:basedOn w:val="Normal"/>
    <w:rPr>
      <w:rFonts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rPr>
      <w:rFonts w:cs="Arial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7DF"/>
    <w:pPr>
      <w:ind w:left="720"/>
    </w:pPr>
  </w:style>
  <w:style w:type="character" w:styleId="Strong">
    <w:name w:val="Strong"/>
    <w:uiPriority w:val="22"/>
    <w:qFormat/>
    <w:rsid w:val="0017324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67334"/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A51A1B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5311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2962"/>
    <w:rPr>
      <w:rFonts w:ascii="Arial" w:hAnsi="Arial" w:cs="Arial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2167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12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735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64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72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2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7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england.org/facilities-planning/planning-for-sport/development-management/planning-applications/playing-field-lan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lanningguidance.communities.gov.uk/blog/policy/achieving-sustainable-development/delivering-sustainable-development/8-promoting-healthy-communiti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england.org/facilities-planning/tools-guidance/design-and-cost-guidance/natural-turf-for-spor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nningguidance.communities.gov.uk/blog/guidance/making-an-application/validation-requir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ortengland.org/facilities-planning/tools-guidance/design-and-cost-guidanc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.uk/uksi/2015/595/schedule/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  <KpiDescription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2DDE679718E4A885D1EB4689E203F" ma:contentTypeVersion="4" ma:contentTypeDescription="Create a new document." ma:contentTypeScope="" ma:versionID="b88d18df9978882bf6840db1007518b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7da806e222be59b9a8100007d4f21a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1:KpiDescription" minOccurs="0"/>
                <xsd:element ref="ns2:_Version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9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1936-26EC-4412-8AAE-B4A17E0D853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12ACF6-9A14-410E-9A69-65D207744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CFBEE-1BDA-4F60-A5F9-4974EC01C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CE6D8-E606-4BA3-A8E6-FAD37E13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5114</CharactersWithSpaces>
  <SharedDoc>false</SharedDoc>
  <HLinks>
    <vt:vector size="72" baseType="variant">
      <vt:variant>
        <vt:i4>721008</vt:i4>
      </vt:variant>
      <vt:variant>
        <vt:i4>33</vt:i4>
      </vt:variant>
      <vt:variant>
        <vt:i4>0</vt:i4>
      </vt:variant>
      <vt:variant>
        <vt:i4>5</vt:i4>
      </vt:variant>
      <vt:variant>
        <vt:lpwstr>mailto:planning.south@sportengland.org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mailto:planning.central@sportengland.org</vt:lpwstr>
      </vt:variant>
      <vt:variant>
        <vt:lpwstr/>
      </vt:variant>
      <vt:variant>
        <vt:i4>721002</vt:i4>
      </vt:variant>
      <vt:variant>
        <vt:i4>27</vt:i4>
      </vt:variant>
      <vt:variant>
        <vt:i4>0</vt:i4>
      </vt:variant>
      <vt:variant>
        <vt:i4>5</vt:i4>
      </vt:variant>
      <vt:variant>
        <vt:lpwstr>mailto:planning.north@sportengland.org</vt:lpwstr>
      </vt:variant>
      <vt:variant>
        <vt:lpwstr/>
      </vt:variant>
      <vt:variant>
        <vt:i4>2621465</vt:i4>
      </vt:variant>
      <vt:variant>
        <vt:i4>24</vt:i4>
      </vt:variant>
      <vt:variant>
        <vt:i4>0</vt:i4>
      </vt:variant>
      <vt:variant>
        <vt:i4>5</vt:i4>
      </vt:variant>
      <vt:variant>
        <vt:lpwstr>mailto:planningforsport@sportengland.org</vt:lpwstr>
      </vt:variant>
      <vt:variant>
        <vt:lpwstr/>
      </vt:variant>
      <vt:variant>
        <vt:i4>5701722</vt:i4>
      </vt:variant>
      <vt:variant>
        <vt:i4>21</vt:i4>
      </vt:variant>
      <vt:variant>
        <vt:i4>0</vt:i4>
      </vt:variant>
      <vt:variant>
        <vt:i4>5</vt:i4>
      </vt:variant>
      <vt:variant>
        <vt:lpwstr>http://www.sportengland.org/planningforsport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http://www.fieldsintrust.org/Product_Listing.aspx</vt:lpwstr>
      </vt:variant>
      <vt:variant>
        <vt:lpwstr/>
      </vt:variant>
      <vt:variant>
        <vt:i4>5767189</vt:i4>
      </vt:variant>
      <vt:variant>
        <vt:i4>15</vt:i4>
      </vt:variant>
      <vt:variant>
        <vt:i4>0</vt:i4>
      </vt:variant>
      <vt:variant>
        <vt:i4>5</vt:i4>
      </vt:variant>
      <vt:variant>
        <vt:lpwstr>http://www.fieldsintrust.org/</vt:lpwstr>
      </vt:variant>
      <vt:variant>
        <vt:lpwstr/>
      </vt:variant>
      <vt:variant>
        <vt:i4>4980822</vt:i4>
      </vt:variant>
      <vt:variant>
        <vt:i4>12</vt:i4>
      </vt:variant>
      <vt:variant>
        <vt:i4>0</vt:i4>
      </vt:variant>
      <vt:variant>
        <vt:i4>5</vt:i4>
      </vt:variant>
      <vt:variant>
        <vt:lpwstr>http://www.gov.uk/government/publications/protection-of-school-playing-fields-and-public-land-advice</vt:lpwstr>
      </vt:variant>
      <vt:variant>
        <vt:lpwstr/>
      </vt:variant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http://www.sportengland.org/facilities-planning/tools-guidance/design-and-cost-guidance/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http://www.sportengland.org/planningtoolsandguidance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http://www.sportengland.org/planningapplications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John Feetam</dc:creator>
  <cp:keywords> </cp:keywords>
  <dc:description> </dc:description>
  <cp:lastModifiedBy>John Feetam</cp:lastModifiedBy>
  <cp:revision>2</cp:revision>
  <cp:lastPrinted>2015-11-16T10:36:00Z</cp:lastPrinted>
  <dcterms:created xsi:type="dcterms:W3CDTF">2016-01-22T12:58:00Z</dcterms:created>
  <dcterms:modified xsi:type="dcterms:W3CDTF">2016-01-22T12:58:00Z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sAAAXRTqSjcrLAqPlHLdiu4k5MInMGs4xEyfIcoQO5mLtYs=</vt:lpwstr>
  </property>
  <property fmtid="{D5CDD505-2E9C-101B-9397-08002B2CF9AE}" pid="3" name="MAIL_MSG_ID1">
    <vt:lpwstr>UFAA74umbxbhXhDUqQuBzktm5VaITr3W5r63ElH55Ef5OJJbPTK3bNKD7WU5iMa6BXhktQ2IPS3m/dmW_x000d_
eR90T/P3jdo9jxqFkhY3ocQ0L2B2NWV2h8h7FfROyTgL1n9w8Eb22yc2VS5pFsaWeR90T/P3jdo9_x000d_
jxqFkhY3ocQ0L2B2NWV2h8h7FfROyVmA+q4xMETDiU6SfDpngIXbGPWyzFGS+y9cDpfxVjD2KOd5_x000d_
SPwM6ttWEBuysHvQz</vt:lpwstr>
  </property>
  <property fmtid="{D5CDD505-2E9C-101B-9397-08002B2CF9AE}" pid="4" name="EMAIL_OWNER_ADDRESS">
    <vt:lpwstr>4AAAMz5NUQ6P8J8a+Bsc9LZdBQlkaDQDoNcw2bJIUeddODjYB/HoHF0y1Q==</vt:lpwstr>
  </property>
  <property fmtid="{D5CDD505-2E9C-101B-9397-08002B2CF9AE}" pid="5" name="MAIL_MSG_ID2">
    <vt:lpwstr>PeHzxjRXC6IzSa0HRNqanoLS8ddm6uAq3g7AYopBknTcrCufQyTwEC/xaH+_x000d_
kMxgM1gr/JWvh6MGf5a0iHmzwhM=</vt:lpwstr>
  </property>
  <property fmtid="{D5CDD505-2E9C-101B-9397-08002B2CF9AE}" pid="6" name="_Version">
    <vt:lpwstr/>
  </property>
  <property fmtid="{D5CDD505-2E9C-101B-9397-08002B2CF9AE}" pid="7" name="_DCDateModified">
    <vt:lpwstr/>
  </property>
  <property fmtid="{D5CDD505-2E9C-101B-9397-08002B2CF9AE}" pid="8" name="KpiDescription">
    <vt:lpwstr/>
  </property>
  <property fmtid="{D5CDD505-2E9C-101B-9397-08002B2CF9AE}" pid="9" name="_DCDateCreated">
    <vt:lpwstr/>
  </property>
  <property fmtid="{D5CDD505-2E9C-101B-9397-08002B2CF9AE}" pid="10" name="ContentTypeId">
    <vt:lpwstr>0x0101004E42DDE679718E4A885D1EB4689E203F</vt:lpwstr>
  </property>
</Properties>
</file>